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EB1" w:rsidTr="00051EB1">
        <w:tc>
          <w:tcPr>
            <w:tcW w:w="9062" w:type="dxa"/>
          </w:tcPr>
          <w:p w:rsidR="005A690A" w:rsidRPr="00E17DD3" w:rsidRDefault="00051EB1" w:rsidP="005A690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</w:pP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DIKTAS</w:t>
            </w:r>
            <w:r w:rsidR="00C738A5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-</w:t>
            </w:r>
            <w:r w:rsidR="00DF66EE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 </w:t>
            </w: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„Zaštita i održivo korištenje prekograničnog sistema vodonosnika dinarskog krša“</w:t>
            </w:r>
          </w:p>
        </w:tc>
      </w:tr>
    </w:tbl>
    <w:p w:rsidR="00051EB1" w:rsidRDefault="00051EB1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</w:p>
    <w:p w:rsidR="000610D3" w:rsidRPr="000610D3" w:rsidRDefault="000610D3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Projekat „Zaštita i održivo korištenje prekograničnog sistema vodonosnika dinarskog krša“ (Dinaric Karst Aquifer System - DIKTAS) je regionalni </w:t>
      </w:r>
      <w:r>
        <w:rPr>
          <w:rFonts w:ascii="Arial" w:eastAsia="Times New Roman" w:hAnsi="Arial" w:cs="Arial"/>
          <w:sz w:val="23"/>
          <w:szCs w:val="23"/>
          <w:lang w:eastAsia="bs-Latn-BA"/>
        </w:rPr>
        <w:t>projekat koji su provodili: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UNDP </w:t>
      </w:r>
      <w:hyperlink r:id="rId5" w:history="1">
        <w:r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www.undp.org</w:t>
        </w:r>
      </w:hyperlink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 i UNESCO </w:t>
      </w:r>
      <w:hyperlink r:id="rId6" w:history="1">
        <w:r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www.unesco.org</w:t>
        </w:r>
      </w:hyperlink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, a finansira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o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GEF </w:t>
      </w:r>
      <w:hyperlink r:id="rId7" w:history="1">
        <w:r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www.gef.org</w:t>
        </w:r>
      </w:hyperlink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. </w:t>
      </w:r>
    </w:p>
    <w:tbl>
      <w:tblPr>
        <w:tblW w:w="7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7"/>
        <w:gridCol w:w="4685"/>
      </w:tblGrid>
      <w:tr w:rsidR="000610D3" w:rsidRPr="000610D3" w:rsidTr="00061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67C08C05" wp14:editId="2A3BFA64">
                  <wp:extent cx="2609850" cy="1533525"/>
                  <wp:effectExtent l="0" t="0" r="0" b="9525"/>
                  <wp:docPr id="7" name="Picture 7" descr="http://www.mvteo.gov.ba/images/DIKTA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vteo.gov.ba/images/DIKTA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60C879DA" wp14:editId="3A55737D">
                  <wp:extent cx="2790825" cy="1533525"/>
                  <wp:effectExtent l="0" t="0" r="9525" b="9525"/>
                  <wp:docPr id="8" name="Picture 8" descr="http://www.mvteo.gov.ba/images/DIKTA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vteo.gov.ba/images/DIKTA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Dinarski kraški akviferi (vodonosnici) su jedni od najvećih u svijetu i ideja je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 bila</w:t>
      </w:r>
      <w:r w:rsidR="00AF29AC">
        <w:rPr>
          <w:rFonts w:ascii="Arial" w:eastAsia="Times New Roman" w:hAnsi="Arial" w:cs="Arial"/>
          <w:sz w:val="23"/>
          <w:szCs w:val="23"/>
          <w:lang w:eastAsia="bs-Latn-BA"/>
        </w:rPr>
        <w:t xml:space="preserve"> da se kroz ovaj P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rojekat: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olakša ravnopravno i održivo korištenje prekograničnih dinarskih vodnih sistema, kao i da se zaštiti jedinstveni ekosistem karakterističan za područje Balkanskog poluostrva; 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stvore </w:t>
      </w:r>
      <w:r w:rsidR="003B1B66">
        <w:rPr>
          <w:rFonts w:ascii="Arial" w:eastAsia="Times New Roman" w:hAnsi="Arial" w:cs="Arial"/>
          <w:sz w:val="23"/>
          <w:szCs w:val="23"/>
          <w:lang w:eastAsia="bs-Latn-BA"/>
        </w:rPr>
        <w:t>uvjeti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za ravnopravnu i održivu upotrebu i gazdovanje nad prekograničnim vodnim resursima Sistema vodonosnika dinarskog krša;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unaprijedi naučno razumijevanje sistema u svim zemljama koje dijele taj vodonosnik, što je potrebno kako bi se postigao svjestan konsenzus po pitanju faktora koji ugrožavaju njegov integritet na nacionalnom i prekograničnom nivou; 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>izgradi politički konsenzus oko relevantnih ključnih prioritetnih reformi i novih politika u regionu dinarskog krša;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>pojača koordinacija među zemljama, donatorima, projektima i agencijama;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konsolidiraju nacionalne i međunarodne podrške; </w:t>
      </w:r>
    </w:p>
    <w:p w:rsidR="000610D3" w:rsidRP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jača svijest u javnosti i uključe 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zainteresirane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strane;</w:t>
      </w:r>
    </w:p>
    <w:p w:rsidR="000610D3" w:rsidRPr="000610D3" w:rsidRDefault="00AF29AC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U P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rojekat su </w:t>
      </w:r>
      <w:r w:rsid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bile 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uključene četiri zemlje iz regiona koje dijele ovaj sistem vodonosnika (akvifera) dinarskog krša: Albanija, Bosna i Hercegovina, Hrvatska i Crna Gora. </w:t>
      </w:r>
    </w:p>
    <w:p w:rsidR="000610D3" w:rsidRPr="000610D3" w:rsidRDefault="00AF29AC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Sa implementacijom P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rojekta se krenulo 2010. godine, nakon odobravanja projektnog dokumenta od strane 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Vijeća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ministara BiH.</w:t>
      </w:r>
    </w:p>
    <w:p w:rsidR="000610D3" w:rsidRPr="000610D3" w:rsidRDefault="00AF29AC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Za implementaciju P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>rojekta ispred BiH zaduženo je</w:t>
      </w:r>
      <w:r w:rsid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bilo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Ministarstvo vanjske trgovine i ekonomskih odnosa BiH uz saradnju sa nadležnim entitetskim ministarstvima (Federalno ministarstvo za poljoprivredu, vodoprivredu i šumarstvo i Ministarstvo poljoprivrede, šumarstva i vodoprivrede Republike Srpske). </w:t>
      </w:r>
    </w:p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Unutar Projekta formirane su četiri ekspertne grupe koje 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su pokrivale 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oblasti hidrogeologije, socioekon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omije, pravnog i institucionalnog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okvira i učešća javnosti, a u 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lastRenderedPageBreak/>
        <w:t>čijem radu učestvuju eksperti iz četiri zemlje  uključene u Projekat. Direktnim učešćem eksperata, BiH je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 bila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uključena u operativni rad DIKTAS-a.</w:t>
      </w:r>
    </w:p>
    <w:p w:rsidR="00B910F7" w:rsidRPr="00774357" w:rsidRDefault="00AF29AC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Kroz P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 xml:space="preserve">rojekat, 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>tokom 2013. godine završen je dokument „Prekogranična dijagnostička analiza - Transboundary Diagnostic Analysis (TDA)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>“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>. U ovom dokumentu su utvrđeni prekogranični problemi, kao i opcije za intervenciju u cilju rješavanja predloženih nacionalnih i prekograničnih problema. Ovim dokumentom započeo je proces kooperativne pripreme Strateškog akcionog plan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a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(SAP) među zemljama. SAP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466806" w:rsidRPr="00DC7178">
        <w:rPr>
          <w:rFonts w:ascii="Arial" w:eastAsia="Times New Roman" w:hAnsi="Arial" w:cs="Arial"/>
          <w:sz w:val="23"/>
          <w:szCs w:val="23"/>
          <w:lang w:eastAsia="bs-Latn-BA"/>
        </w:rPr>
        <w:t>je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E17DD3">
        <w:rPr>
          <w:rFonts w:ascii="Arial" w:eastAsia="Times New Roman" w:hAnsi="Arial" w:cs="Arial"/>
          <w:sz w:val="23"/>
          <w:szCs w:val="23"/>
          <w:lang w:eastAsia="bs-Latn-BA"/>
        </w:rPr>
        <w:t xml:space="preserve">pripremljen i 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>prihvaćen od zemalja korisnica.</w:t>
      </w:r>
      <w:r w:rsidR="00774357">
        <w:rPr>
          <w:rFonts w:ascii="Arial" w:eastAsia="Times New Roman" w:hAnsi="Arial" w:cs="Arial"/>
          <w:sz w:val="23"/>
          <w:szCs w:val="23"/>
          <w:lang w:eastAsia="bs-Latn-BA"/>
        </w:rPr>
        <w:t xml:space="preserve"> Dokument možete preuzeti </w:t>
      </w:r>
      <w:r w:rsidR="00774357" w:rsidRP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ovd</w:t>
      </w:r>
      <w:r w:rsid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j</w:t>
      </w:r>
      <w:r w:rsidR="00774357" w:rsidRP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e</w:t>
      </w:r>
      <w:r w:rsid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.</w:t>
      </w:r>
    </w:p>
    <w:p w:rsidR="00DC7178" w:rsidRPr="000610D3" w:rsidRDefault="00B910F7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bookmarkStart w:id="0" w:name="_GoBack"/>
      <w:r>
        <w:rPr>
          <w:rFonts w:ascii="Arial" w:eastAsia="Times New Roman" w:hAnsi="Arial" w:cs="Arial"/>
          <w:sz w:val="23"/>
          <w:szCs w:val="23"/>
          <w:lang w:eastAsia="bs-Latn-BA"/>
        </w:rPr>
        <w:t>Proj</w:t>
      </w:r>
      <w:bookmarkEnd w:id="0"/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ekat 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je </w:t>
      </w:r>
      <w:r>
        <w:rPr>
          <w:rFonts w:ascii="Arial" w:eastAsia="Times New Roman" w:hAnsi="Arial" w:cs="Arial"/>
          <w:sz w:val="23"/>
          <w:szCs w:val="23"/>
          <w:lang w:eastAsia="bs-Latn-BA"/>
        </w:rPr>
        <w:t>završen 30. juna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2015. godine.</w:t>
      </w:r>
    </w:p>
    <w:p w:rsidR="00B910F7" w:rsidRDefault="00B910F7"/>
    <w:sectPr w:rsidR="00B9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C0C"/>
    <w:multiLevelType w:val="multilevel"/>
    <w:tmpl w:val="62F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F6BFA"/>
    <w:multiLevelType w:val="hybridMultilevel"/>
    <w:tmpl w:val="577EF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51EB1"/>
    <w:rsid w:val="000610D3"/>
    <w:rsid w:val="002B602B"/>
    <w:rsid w:val="003B1B66"/>
    <w:rsid w:val="00466806"/>
    <w:rsid w:val="005A690A"/>
    <w:rsid w:val="00774357"/>
    <w:rsid w:val="00AF29AC"/>
    <w:rsid w:val="00B36FBA"/>
    <w:rsid w:val="00B910F7"/>
    <w:rsid w:val="00C738A5"/>
    <w:rsid w:val="00DC7178"/>
    <w:rsid w:val="00DE53D6"/>
    <w:rsid w:val="00DF66EE"/>
    <w:rsid w:val="00E17DD3"/>
    <w:rsid w:val="00F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B758-1E4D-4427-AF9D-1C59D34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3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9" w:color="CCCCCC"/>
                                    <w:right w:val="none" w:sz="0" w:space="0" w:color="auto"/>
                                  </w:divBdr>
                                  <w:divsChild>
                                    <w:div w:id="288440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66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256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9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7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dp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19</cp:revision>
  <dcterms:created xsi:type="dcterms:W3CDTF">2017-12-01T12:16:00Z</dcterms:created>
  <dcterms:modified xsi:type="dcterms:W3CDTF">2017-12-16T13:33:00Z</dcterms:modified>
</cp:coreProperties>
</file>