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C967" w14:textId="6268298D" w:rsidR="00534A93" w:rsidRDefault="00FF3310" w:rsidP="00BE06C5">
      <w:pPr>
        <w:ind w:left="720" w:hanging="12"/>
        <w:jc w:val="center"/>
        <w:rPr>
          <w:rFonts w:ascii="Times New Roman" w:hAnsi="Times New Roman" w:cs="Times New Roman"/>
          <w:b/>
          <w:sz w:val="24"/>
          <w:szCs w:val="24"/>
        </w:rPr>
      </w:pPr>
      <w:r w:rsidRPr="00BE06C5">
        <w:rPr>
          <w:rFonts w:ascii="Times New Roman" w:hAnsi="Times New Roman" w:cs="Times New Roman"/>
          <w:b/>
          <w:sz w:val="28"/>
          <w:szCs w:val="24"/>
        </w:rPr>
        <w:t>Q&amp;A Reforma Sistema Poticija OIE BIH</w:t>
      </w:r>
    </w:p>
    <w:p w14:paraId="510EE11C" w14:textId="77777777" w:rsidR="00BE06C5" w:rsidRPr="00BE06C5" w:rsidRDefault="00BE06C5" w:rsidP="00BE06C5">
      <w:pPr>
        <w:ind w:left="720" w:hanging="12"/>
        <w:jc w:val="center"/>
        <w:rPr>
          <w:rFonts w:ascii="Times New Roman" w:hAnsi="Times New Roman" w:cs="Times New Roman"/>
          <w:b/>
          <w:sz w:val="24"/>
          <w:szCs w:val="24"/>
        </w:rPr>
      </w:pPr>
    </w:p>
    <w:p w14:paraId="027A0AE9" w14:textId="77777777" w:rsidR="00534A93" w:rsidRPr="00BE06C5" w:rsidRDefault="00534A93"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Zašto nam je potrebna reforma Programa poticaja za OE u BIH?</w:t>
      </w:r>
    </w:p>
    <w:p w14:paraId="18B0E9E1" w14:textId="1F72642E" w:rsidR="00534A93" w:rsidRPr="00BE06C5" w:rsidRDefault="00534A93" w:rsidP="00BE06C5">
      <w:pPr>
        <w:pStyle w:val="ListParagraph"/>
        <w:jc w:val="both"/>
        <w:rPr>
          <w:rFonts w:ascii="Times New Roman" w:hAnsi="Times New Roman" w:cs="Times New Roman"/>
          <w:b/>
          <w:bCs/>
          <w:sz w:val="24"/>
          <w:szCs w:val="24"/>
        </w:rPr>
      </w:pPr>
      <w:r w:rsidRPr="00BE06C5">
        <w:rPr>
          <w:rFonts w:ascii="Times New Roman" w:hAnsi="Times New Roman" w:cs="Times New Roman"/>
          <w:sz w:val="24"/>
          <w:szCs w:val="24"/>
          <w:lang w:val="hr-HR"/>
        </w:rPr>
        <w:t xml:space="preserve">Bosna i Hercegovina ima </w:t>
      </w:r>
      <w:r w:rsidRPr="00BE06C5">
        <w:rPr>
          <w:rFonts w:ascii="Times New Roman" w:hAnsi="Times New Roman" w:cs="Times New Roman"/>
          <w:b/>
          <w:sz w:val="24"/>
          <w:szCs w:val="24"/>
          <w:lang w:val="hr-HR"/>
        </w:rPr>
        <w:t>odličnu raspoloživost resursima</w:t>
      </w:r>
      <w:r w:rsidRPr="00BE06C5">
        <w:rPr>
          <w:rFonts w:ascii="Times New Roman" w:hAnsi="Times New Roman" w:cs="Times New Roman"/>
          <w:sz w:val="24"/>
          <w:szCs w:val="24"/>
          <w:lang w:val="hr-HR"/>
        </w:rPr>
        <w:t xml:space="preserve"> za energiju iz hidroenergije, vjetroenergije i  solarne energije i odgovarajući potencijal za proizvodna postrojenja na bazi biomase i biogasa. Ona koristi obnovljive izvore energije (OIE) već decenijama, a hidroenergija je jedan od temelja sistema električnog napajanja. Kako je navedeno u državnom akcionom planu za obnovljivu energiju BiH, ciljni udio OIE u konačnoj potrošnji električne energije bit će 40% do 2020. godine, s fokusom na sve veće uvođenje u energetski sektor. Do sada, nije ostvarena </w:t>
      </w:r>
      <w:r w:rsidRPr="00BE06C5">
        <w:rPr>
          <w:rFonts w:ascii="Times New Roman" w:hAnsi="Times New Roman" w:cs="Times New Roman"/>
          <w:b/>
          <w:sz w:val="24"/>
          <w:szCs w:val="24"/>
          <w:lang w:val="hr-HR"/>
        </w:rPr>
        <w:t>čak ni polovina ključnih ciljeva iz 2018. godine</w:t>
      </w:r>
      <w:r w:rsidRPr="00BE06C5">
        <w:rPr>
          <w:rFonts w:ascii="Times New Roman" w:hAnsi="Times New Roman" w:cs="Times New Roman"/>
          <w:sz w:val="24"/>
          <w:szCs w:val="24"/>
          <w:lang w:val="hr-HR"/>
        </w:rPr>
        <w:t xml:space="preserve"> za obnovljive energije isključujući proizvodnju hidroenergije visokih razmjera. Jedan od glavnih izazova postojećeg sistema poticaja za OIE je </w:t>
      </w:r>
      <w:r w:rsidRPr="00BE06C5">
        <w:rPr>
          <w:rFonts w:ascii="Times New Roman" w:hAnsi="Times New Roman" w:cs="Times New Roman"/>
          <w:b/>
          <w:sz w:val="24"/>
          <w:szCs w:val="24"/>
          <w:lang w:val="hr-HR"/>
        </w:rPr>
        <w:t xml:space="preserve">teškoća utvrđivanja tehnoloških kvota na osnovu očekivanog potencijala </w:t>
      </w:r>
      <w:r w:rsidRPr="00BE06C5">
        <w:rPr>
          <w:rFonts w:ascii="Times New Roman" w:hAnsi="Times New Roman" w:cs="Times New Roman"/>
          <w:sz w:val="24"/>
          <w:szCs w:val="24"/>
          <w:lang w:val="hr-HR"/>
        </w:rPr>
        <w:t xml:space="preserve">i </w:t>
      </w:r>
      <w:r w:rsidRPr="00BE06C5">
        <w:rPr>
          <w:rFonts w:ascii="Times New Roman" w:hAnsi="Times New Roman" w:cs="Times New Roman"/>
          <w:b/>
          <w:sz w:val="24"/>
          <w:szCs w:val="24"/>
          <w:lang w:val="hr-HR"/>
        </w:rPr>
        <w:t xml:space="preserve">određivanje odgovarajućeg nivoa stimulacije </w:t>
      </w:r>
      <w:r w:rsidRPr="00BE06C5">
        <w:rPr>
          <w:rFonts w:ascii="Times New Roman" w:hAnsi="Times New Roman" w:cs="Times New Roman"/>
          <w:sz w:val="24"/>
          <w:szCs w:val="24"/>
          <w:lang w:val="hr-HR"/>
        </w:rPr>
        <w:t xml:space="preserve">(poticajna cijena) za poticanje ulaganja. Dok su na primjer utvrđene kvote i ciljevi kapaciteta za solarnu energiju u oba entiteta kontinuirano povećavane kako su ostvarivane na državnom nivou, drugi tehnološki ciljevi nisu mogli biti ostvareni. </w:t>
      </w:r>
    </w:p>
    <w:p w14:paraId="35CE137F" w14:textId="77777777" w:rsidR="00534A93" w:rsidRPr="00BE06C5" w:rsidRDefault="00534A93" w:rsidP="00BE06C5">
      <w:pPr>
        <w:pStyle w:val="ListParagraph"/>
        <w:jc w:val="both"/>
        <w:rPr>
          <w:rFonts w:ascii="Times New Roman" w:hAnsi="Times New Roman" w:cs="Times New Roman"/>
          <w:sz w:val="24"/>
          <w:szCs w:val="24"/>
          <w:lang w:val="hr-HR"/>
        </w:rPr>
      </w:pPr>
    </w:p>
    <w:p w14:paraId="3CAFC149" w14:textId="77777777" w:rsidR="00534A93" w:rsidRPr="00BE06C5" w:rsidRDefault="00534A93"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Kako bi bile izbjegnute prekomjerne subvencije za neke tehnologije, kao što su npr. solarna energija s jedne strane, i </w:t>
      </w:r>
      <w:r w:rsidRPr="00BE06C5">
        <w:rPr>
          <w:rFonts w:ascii="Times New Roman" w:hAnsi="Times New Roman" w:cs="Times New Roman"/>
          <w:b/>
          <w:sz w:val="24"/>
          <w:szCs w:val="24"/>
          <w:lang w:val="hr-HR"/>
        </w:rPr>
        <w:t xml:space="preserve">kako bi bio prilagođen sistem poticaja prema potrebama i izvodivom potencijalu </w:t>
      </w:r>
      <w:r w:rsidRPr="00BE06C5">
        <w:rPr>
          <w:rFonts w:ascii="Times New Roman" w:hAnsi="Times New Roman" w:cs="Times New Roman"/>
          <w:sz w:val="24"/>
          <w:szCs w:val="24"/>
          <w:lang w:val="hr-HR"/>
        </w:rPr>
        <w:t xml:space="preserve">drugih tehnologija s druge strane, potrebna je sveobuhvatna reforma sistema programa poticaja za električnu energiju na bazi OIE u oba entiteta. </w:t>
      </w:r>
    </w:p>
    <w:p w14:paraId="6213DC22" w14:textId="77777777" w:rsidR="00534A93" w:rsidRPr="00BE06C5" w:rsidRDefault="00534A93" w:rsidP="00BE06C5">
      <w:pPr>
        <w:pStyle w:val="ListParagraph"/>
        <w:jc w:val="both"/>
        <w:rPr>
          <w:rFonts w:ascii="Times New Roman" w:hAnsi="Times New Roman" w:cs="Times New Roman"/>
          <w:sz w:val="24"/>
          <w:szCs w:val="24"/>
          <w:lang w:val="hr-HR"/>
        </w:rPr>
      </w:pPr>
    </w:p>
    <w:p w14:paraId="577DFC38" w14:textId="77777777" w:rsidR="00534A93" w:rsidRPr="00BE06C5" w:rsidRDefault="00534A93"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Reforma stoga ne treba zanemariti iskustva iz drugih zemalja. S </w:t>
      </w:r>
      <w:r w:rsidRPr="00BE06C5">
        <w:rPr>
          <w:rFonts w:ascii="Times New Roman" w:hAnsi="Times New Roman" w:cs="Times New Roman"/>
          <w:b/>
          <w:sz w:val="24"/>
          <w:szCs w:val="24"/>
          <w:lang w:val="hr-HR"/>
        </w:rPr>
        <w:t xml:space="preserve">potrebnim proširenjem instaliranih kapaciteta OIE </w:t>
      </w:r>
      <w:r w:rsidRPr="00BE06C5">
        <w:rPr>
          <w:rFonts w:ascii="Times New Roman" w:hAnsi="Times New Roman" w:cs="Times New Roman"/>
          <w:sz w:val="24"/>
          <w:szCs w:val="24"/>
          <w:lang w:val="hr-HR"/>
        </w:rPr>
        <w:t xml:space="preserve">u svijetu pojavili su se novi izazovi, uključujući </w:t>
      </w:r>
      <w:r w:rsidRPr="00BE06C5">
        <w:rPr>
          <w:rFonts w:ascii="Times New Roman" w:hAnsi="Times New Roman" w:cs="Times New Roman"/>
          <w:b/>
          <w:sz w:val="24"/>
          <w:szCs w:val="24"/>
          <w:lang w:val="hr-HR"/>
        </w:rPr>
        <w:t>integraciju tržišta i mreže obnovljivih izvora energije zbog njihove nestalne prirode</w:t>
      </w:r>
      <w:r w:rsidRPr="00BE06C5">
        <w:rPr>
          <w:rFonts w:ascii="Times New Roman" w:hAnsi="Times New Roman" w:cs="Times New Roman"/>
          <w:sz w:val="24"/>
          <w:szCs w:val="24"/>
          <w:lang w:val="hr-HR"/>
        </w:rPr>
        <w:t xml:space="preserve"> i složenost u predviđanju rezultata proizvodnje. Istovremeno, unapređenja tehnologije tokom protekle decenije dovela su do značajnog </w:t>
      </w:r>
      <w:r w:rsidRPr="00BE06C5">
        <w:rPr>
          <w:rFonts w:ascii="Times New Roman" w:hAnsi="Times New Roman" w:cs="Times New Roman"/>
          <w:b/>
          <w:sz w:val="24"/>
          <w:szCs w:val="24"/>
          <w:lang w:val="hr-HR"/>
        </w:rPr>
        <w:t>smanjenja troška po instaliranom kW</w:t>
      </w:r>
      <w:r w:rsidRPr="00BE06C5">
        <w:rPr>
          <w:rFonts w:ascii="Times New Roman" w:hAnsi="Times New Roman" w:cs="Times New Roman"/>
          <w:sz w:val="24"/>
          <w:szCs w:val="24"/>
          <w:lang w:val="hr-HR"/>
        </w:rPr>
        <w:t xml:space="preserve">. Cilj većine zemalja je da ostvare koristi unapređenja tehnologije uvođenjem </w:t>
      </w:r>
      <w:r w:rsidRPr="00BE06C5">
        <w:rPr>
          <w:rFonts w:ascii="Times New Roman" w:hAnsi="Times New Roman" w:cs="Times New Roman"/>
          <w:b/>
          <w:sz w:val="24"/>
          <w:szCs w:val="24"/>
          <w:lang w:val="hr-HR"/>
        </w:rPr>
        <w:t>ekonomičnijih mehanizama poticaja</w:t>
      </w:r>
      <w:r w:rsidRPr="00BE06C5">
        <w:rPr>
          <w:rFonts w:ascii="Times New Roman" w:hAnsi="Times New Roman" w:cs="Times New Roman"/>
          <w:sz w:val="24"/>
          <w:szCs w:val="24"/>
          <w:lang w:val="hr-HR"/>
        </w:rPr>
        <w:t>.</w:t>
      </w:r>
    </w:p>
    <w:p w14:paraId="53942C1F" w14:textId="77777777" w:rsidR="00534A93" w:rsidRPr="00BE06C5" w:rsidRDefault="00534A93" w:rsidP="00BE06C5">
      <w:pPr>
        <w:pStyle w:val="ListParagraph"/>
        <w:jc w:val="both"/>
        <w:rPr>
          <w:rFonts w:ascii="Times New Roman" w:hAnsi="Times New Roman" w:cs="Times New Roman"/>
          <w:sz w:val="24"/>
          <w:szCs w:val="24"/>
          <w:lang w:val="hr-HR"/>
        </w:rPr>
      </w:pPr>
    </w:p>
    <w:p w14:paraId="153C6D35" w14:textId="77777777" w:rsidR="00534A93" w:rsidRPr="00BE06C5" w:rsidRDefault="00534A93" w:rsidP="00BE06C5">
      <w:pPr>
        <w:pStyle w:val="ListParagraph"/>
        <w:jc w:val="both"/>
        <w:rPr>
          <w:rFonts w:ascii="Times New Roman" w:hAnsi="Times New Roman" w:cs="Times New Roman"/>
          <w:b/>
          <w:bCs/>
          <w:color w:val="FF0000"/>
          <w:sz w:val="24"/>
          <w:szCs w:val="24"/>
        </w:rPr>
      </w:pPr>
      <w:r w:rsidRPr="00BE06C5">
        <w:rPr>
          <w:rFonts w:ascii="Times New Roman" w:hAnsi="Times New Roman" w:cs="Times New Roman"/>
          <w:sz w:val="24"/>
          <w:szCs w:val="24"/>
          <w:lang w:val="hr-HR"/>
        </w:rPr>
        <w:t xml:space="preserve">Od početka 2018. godine, Radna grupa, koju čine predstavnici nekoliko organa BiH sa zakonskim nadležnostima u energetskom sektoru, uz podršku GIZ, bavi se </w:t>
      </w:r>
      <w:r w:rsidRPr="00BE06C5">
        <w:rPr>
          <w:rFonts w:ascii="Times New Roman" w:hAnsi="Times New Roman" w:cs="Times New Roman"/>
          <w:b/>
          <w:sz w:val="24"/>
          <w:szCs w:val="24"/>
          <w:lang w:val="hr-HR"/>
        </w:rPr>
        <w:t>sačinjavanjem koncepta za reformu Programa poticaja za OE u BIH</w:t>
      </w:r>
      <w:r w:rsidRPr="00BE06C5">
        <w:rPr>
          <w:rFonts w:ascii="Times New Roman" w:hAnsi="Times New Roman" w:cs="Times New Roman"/>
          <w:sz w:val="24"/>
          <w:szCs w:val="24"/>
          <w:lang w:val="hr-HR"/>
        </w:rPr>
        <w:t>. Planirano je reforma i odnosni zakoni budu usvojeni do kraja 2020. godine, te da stupe na snagu početkom 2021. godine</w:t>
      </w:r>
    </w:p>
    <w:p w14:paraId="1F9D0D14" w14:textId="77777777" w:rsidR="00534A93" w:rsidRPr="00BE06C5" w:rsidRDefault="00534A93" w:rsidP="00BE06C5">
      <w:pPr>
        <w:pStyle w:val="ListParagraph"/>
        <w:jc w:val="both"/>
        <w:rPr>
          <w:rFonts w:ascii="Times New Roman" w:hAnsi="Times New Roman" w:cs="Times New Roman"/>
          <w:b/>
          <w:bCs/>
          <w:color w:val="FF0000"/>
          <w:sz w:val="24"/>
          <w:szCs w:val="24"/>
        </w:rPr>
      </w:pPr>
    </w:p>
    <w:p w14:paraId="0F31FA16" w14:textId="77777777" w:rsidR="00534A93" w:rsidRPr="00BE06C5" w:rsidRDefault="00534A93"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Why do we need a reform of the RE support schemes in BIH?</w:t>
      </w:r>
    </w:p>
    <w:p w14:paraId="442EF222" w14:textId="77777777"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Bosnia and Herzegovina </w:t>
      </w:r>
      <w:proofErr w:type="gramStart"/>
      <w:r w:rsidRPr="00BE06C5">
        <w:rPr>
          <w:rFonts w:ascii="Times New Roman" w:hAnsi="Times New Roman" w:cs="Times New Roman"/>
          <w:color w:val="1F4E79" w:themeColor="accent5" w:themeShade="80"/>
          <w:sz w:val="24"/>
          <w:szCs w:val="24"/>
          <w:lang w:val="en-GB"/>
        </w:rPr>
        <w:t>has</w:t>
      </w:r>
      <w:proofErr w:type="gramEnd"/>
      <w:r w:rsidRPr="00BE06C5">
        <w:rPr>
          <w:rFonts w:ascii="Times New Roman" w:hAnsi="Times New Roman" w:cs="Times New Roman"/>
          <w:color w:val="1F4E79" w:themeColor="accent5" w:themeShade="80"/>
          <w:sz w:val="24"/>
          <w:szCs w:val="24"/>
          <w:lang w:val="en-GB"/>
        </w:rPr>
        <w:t xml:space="preserve"> an </w:t>
      </w:r>
      <w:r w:rsidRPr="00BE06C5">
        <w:rPr>
          <w:rFonts w:ascii="Times New Roman" w:hAnsi="Times New Roman" w:cs="Times New Roman"/>
          <w:b/>
          <w:color w:val="1F4E79" w:themeColor="accent5" w:themeShade="80"/>
          <w:sz w:val="24"/>
          <w:szCs w:val="24"/>
          <w:lang w:val="en-GB"/>
        </w:rPr>
        <w:t>excellent resource availability</w:t>
      </w:r>
      <w:r w:rsidRPr="00BE06C5">
        <w:rPr>
          <w:rFonts w:ascii="Times New Roman" w:hAnsi="Times New Roman" w:cs="Times New Roman"/>
          <w:color w:val="1F4E79" w:themeColor="accent5" w:themeShade="80"/>
          <w:sz w:val="24"/>
          <w:szCs w:val="24"/>
          <w:lang w:val="en-GB"/>
        </w:rPr>
        <w:t xml:space="preserve"> for energy from hydro, wind, and solar power and a proper potential for biomass and biogas based generation facilities. It has been using renewable energy sources (RES) for decades with hydro power as one of the backbones of its electricity supply system. As outlined in the National Renewable Energy Action Plan of BIH, the targeted RES share in the final energy consumption is 40% by 2020, with a focus of an increasing deployment in the </w:t>
      </w:r>
      <w:r w:rsidRPr="00BE06C5">
        <w:rPr>
          <w:rFonts w:ascii="Times New Roman" w:hAnsi="Times New Roman" w:cs="Times New Roman"/>
          <w:color w:val="1F4E79" w:themeColor="accent5" w:themeShade="80"/>
          <w:sz w:val="24"/>
          <w:szCs w:val="24"/>
          <w:lang w:val="en-GB"/>
        </w:rPr>
        <w:lastRenderedPageBreak/>
        <w:t xml:space="preserve">power sector. Up to the date, </w:t>
      </w:r>
      <w:r w:rsidRPr="00BE06C5">
        <w:rPr>
          <w:rFonts w:ascii="Times New Roman" w:hAnsi="Times New Roman" w:cs="Times New Roman"/>
          <w:b/>
          <w:color w:val="1F4E79" w:themeColor="accent5" w:themeShade="80"/>
          <w:sz w:val="24"/>
          <w:szCs w:val="24"/>
          <w:lang w:val="en-GB"/>
        </w:rPr>
        <w:t>not even half of the 2018 milestone</w:t>
      </w:r>
      <w:r w:rsidRPr="00BE06C5">
        <w:rPr>
          <w:rFonts w:ascii="Times New Roman" w:hAnsi="Times New Roman" w:cs="Times New Roman"/>
          <w:color w:val="1F4E79" w:themeColor="accent5" w:themeShade="80"/>
          <w:sz w:val="24"/>
          <w:szCs w:val="24"/>
          <w:lang w:val="en-GB"/>
        </w:rPr>
        <w:t xml:space="preserve"> for renewable energies excluding large-scale hydro power generation, has been achieved. One of the main challenges of the current RES support system is the </w:t>
      </w:r>
      <w:r w:rsidRPr="00BE06C5">
        <w:rPr>
          <w:rFonts w:ascii="Times New Roman" w:hAnsi="Times New Roman" w:cs="Times New Roman"/>
          <w:b/>
          <w:color w:val="1F4E79" w:themeColor="accent5" w:themeShade="80"/>
          <w:sz w:val="24"/>
          <w:szCs w:val="24"/>
          <w:lang w:val="en-GB"/>
        </w:rPr>
        <w:t>difficulty to allocate technology quotas based on expected potential</w:t>
      </w:r>
      <w:r w:rsidRPr="00BE06C5">
        <w:rPr>
          <w:rFonts w:ascii="Times New Roman" w:hAnsi="Times New Roman" w:cs="Times New Roman"/>
          <w:color w:val="1F4E79" w:themeColor="accent5" w:themeShade="80"/>
          <w:sz w:val="24"/>
          <w:szCs w:val="24"/>
          <w:lang w:val="en-GB"/>
        </w:rPr>
        <w:t xml:space="preserve"> and to </w:t>
      </w:r>
      <w:r w:rsidRPr="00BE06C5">
        <w:rPr>
          <w:rFonts w:ascii="Times New Roman" w:hAnsi="Times New Roman" w:cs="Times New Roman"/>
          <w:b/>
          <w:color w:val="1F4E79" w:themeColor="accent5" w:themeShade="80"/>
          <w:sz w:val="24"/>
          <w:szCs w:val="24"/>
          <w:lang w:val="en-GB"/>
        </w:rPr>
        <w:t xml:space="preserve">set the right level of incentive </w:t>
      </w:r>
      <w:r w:rsidRPr="00BE06C5">
        <w:rPr>
          <w:rFonts w:ascii="Times New Roman" w:hAnsi="Times New Roman" w:cs="Times New Roman"/>
          <w:color w:val="1F4E79" w:themeColor="accent5" w:themeShade="80"/>
          <w:sz w:val="24"/>
          <w:szCs w:val="24"/>
          <w:lang w:val="en-GB"/>
        </w:rPr>
        <w:t xml:space="preserve">(feed-in tariff) to stimulate the investment. Whereas for example the defined capacity quotas and targets for solar power in both entities have been constantly increased as they were annually fulfilled, other technology targets could not be achieved. </w:t>
      </w:r>
    </w:p>
    <w:p w14:paraId="3CCC9D77" w14:textId="77777777"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To avoid excessive subsidies for some technologies like e.g. solar power on the one hand and </w:t>
      </w:r>
      <w:r w:rsidRPr="00BE06C5">
        <w:rPr>
          <w:rFonts w:ascii="Times New Roman" w:hAnsi="Times New Roman" w:cs="Times New Roman"/>
          <w:b/>
          <w:color w:val="1F4E79" w:themeColor="accent5" w:themeShade="80"/>
          <w:sz w:val="24"/>
          <w:szCs w:val="24"/>
          <w:lang w:val="en-GB"/>
        </w:rPr>
        <w:t>to adjust the incentive system according to the needs and feasible potential</w:t>
      </w:r>
      <w:r w:rsidRPr="00BE06C5">
        <w:rPr>
          <w:rFonts w:ascii="Times New Roman" w:hAnsi="Times New Roman" w:cs="Times New Roman"/>
          <w:color w:val="1F4E79" w:themeColor="accent5" w:themeShade="80"/>
          <w:sz w:val="24"/>
          <w:szCs w:val="24"/>
          <w:lang w:val="en-GB"/>
        </w:rPr>
        <w:t xml:space="preserve"> of other technologies on the other hand, a comprehensive reform of the support scheme system for RES based electricity is required in both entities. </w:t>
      </w:r>
    </w:p>
    <w:p w14:paraId="703B792D" w14:textId="77777777"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p>
    <w:p w14:paraId="2E11409C" w14:textId="77777777"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The reform should thereby not ignore respective experiences made in other countries. With the </w:t>
      </w:r>
      <w:r w:rsidRPr="00BE06C5">
        <w:rPr>
          <w:rFonts w:ascii="Times New Roman" w:hAnsi="Times New Roman" w:cs="Times New Roman"/>
          <w:b/>
          <w:color w:val="1F4E79" w:themeColor="accent5" w:themeShade="80"/>
          <w:sz w:val="24"/>
          <w:szCs w:val="24"/>
          <w:lang w:val="en-GB"/>
        </w:rPr>
        <w:t>needed expansion of installed RES capacities</w:t>
      </w:r>
      <w:r w:rsidRPr="00BE06C5">
        <w:rPr>
          <w:rFonts w:ascii="Times New Roman" w:hAnsi="Times New Roman" w:cs="Times New Roman"/>
          <w:color w:val="1F4E79" w:themeColor="accent5" w:themeShade="80"/>
          <w:sz w:val="24"/>
          <w:szCs w:val="24"/>
          <w:lang w:val="en-GB"/>
        </w:rPr>
        <w:t xml:space="preserve"> worldwide, new challenges have arisen, including </w:t>
      </w:r>
      <w:r w:rsidRPr="00BE06C5">
        <w:rPr>
          <w:rFonts w:ascii="Times New Roman" w:hAnsi="Times New Roman" w:cs="Times New Roman"/>
          <w:b/>
          <w:color w:val="1F4E79" w:themeColor="accent5" w:themeShade="80"/>
          <w:sz w:val="24"/>
          <w:szCs w:val="24"/>
          <w:lang w:val="en-GB"/>
        </w:rPr>
        <w:t>market and network integration of renewable energy sources due to their intermittent nature</w:t>
      </w:r>
      <w:r w:rsidRPr="00BE06C5">
        <w:rPr>
          <w:rFonts w:ascii="Times New Roman" w:hAnsi="Times New Roman" w:cs="Times New Roman"/>
          <w:color w:val="1F4E79" w:themeColor="accent5" w:themeShade="80"/>
          <w:sz w:val="24"/>
          <w:szCs w:val="24"/>
          <w:lang w:val="en-GB"/>
        </w:rPr>
        <w:t xml:space="preserve"> and complexity in forecasting their generation outputs. At the same time, technology improvements over the past decade have led to significant </w:t>
      </w:r>
      <w:r w:rsidRPr="00BE06C5">
        <w:rPr>
          <w:rFonts w:ascii="Times New Roman" w:hAnsi="Times New Roman" w:cs="Times New Roman"/>
          <w:b/>
          <w:color w:val="1F4E79" w:themeColor="accent5" w:themeShade="80"/>
          <w:sz w:val="24"/>
          <w:szCs w:val="24"/>
          <w:lang w:val="en-GB"/>
        </w:rPr>
        <w:t>cost decrease per installed kW</w:t>
      </w:r>
      <w:r w:rsidRPr="00BE06C5">
        <w:rPr>
          <w:rFonts w:ascii="Times New Roman" w:hAnsi="Times New Roman" w:cs="Times New Roman"/>
          <w:color w:val="1F4E79" w:themeColor="accent5" w:themeShade="80"/>
          <w:sz w:val="24"/>
          <w:szCs w:val="24"/>
          <w:lang w:val="en-GB"/>
        </w:rPr>
        <w:t xml:space="preserve">. Most countries aim to reap the benefits of technology improvement by introducing </w:t>
      </w:r>
      <w:r w:rsidRPr="00BE06C5">
        <w:rPr>
          <w:rFonts w:ascii="Times New Roman" w:hAnsi="Times New Roman" w:cs="Times New Roman"/>
          <w:b/>
          <w:color w:val="1F4E79" w:themeColor="accent5" w:themeShade="80"/>
          <w:sz w:val="24"/>
          <w:szCs w:val="24"/>
          <w:lang w:val="en-GB"/>
        </w:rPr>
        <w:t>more cost-efficient support mechanisms</w:t>
      </w:r>
      <w:r w:rsidRPr="00BE06C5">
        <w:rPr>
          <w:rFonts w:ascii="Times New Roman" w:hAnsi="Times New Roman" w:cs="Times New Roman"/>
          <w:color w:val="1F4E79" w:themeColor="accent5" w:themeShade="80"/>
          <w:sz w:val="24"/>
          <w:szCs w:val="24"/>
          <w:lang w:val="en-GB"/>
        </w:rPr>
        <w:t>.</w:t>
      </w:r>
    </w:p>
    <w:p w14:paraId="7ECACF9B" w14:textId="77777777"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p>
    <w:p w14:paraId="70B79E3B" w14:textId="1C870185"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Since the beginning of 2018, a Working Group, consisting of representatives of several BIH authorities with legal competences in the energy sector, with the support of GIZ, has been engaged in </w:t>
      </w:r>
      <w:r w:rsidRPr="00BE06C5">
        <w:rPr>
          <w:rFonts w:ascii="Times New Roman" w:hAnsi="Times New Roman" w:cs="Times New Roman"/>
          <w:b/>
          <w:color w:val="1F4E79" w:themeColor="accent5" w:themeShade="80"/>
          <w:sz w:val="24"/>
          <w:szCs w:val="24"/>
          <w:lang w:val="en-GB"/>
        </w:rPr>
        <w:t>developing a concept for a reform of RE support schemes in BIH</w:t>
      </w:r>
      <w:r w:rsidRPr="00BE06C5">
        <w:rPr>
          <w:rFonts w:ascii="Times New Roman" w:hAnsi="Times New Roman" w:cs="Times New Roman"/>
          <w:color w:val="1F4E79" w:themeColor="accent5" w:themeShade="80"/>
          <w:sz w:val="24"/>
          <w:szCs w:val="24"/>
          <w:lang w:val="en-GB"/>
        </w:rPr>
        <w:t>. It is planned to have the reform and the respective legislation adopted until the end of 2020, entering into force in the beginning of the year 2021.</w:t>
      </w:r>
    </w:p>
    <w:p w14:paraId="02520697" w14:textId="1FD375F8" w:rsidR="00534A93" w:rsidRPr="00BE06C5" w:rsidRDefault="00534A93" w:rsidP="00BE06C5">
      <w:pPr>
        <w:pStyle w:val="ListParagraph"/>
        <w:jc w:val="both"/>
        <w:rPr>
          <w:rFonts w:ascii="Times New Roman" w:hAnsi="Times New Roman" w:cs="Times New Roman"/>
          <w:color w:val="1F4E79" w:themeColor="accent5" w:themeShade="80"/>
          <w:sz w:val="24"/>
          <w:szCs w:val="24"/>
          <w:lang w:val="en-GB"/>
        </w:rPr>
      </w:pPr>
    </w:p>
    <w:p w14:paraId="4D2779A8" w14:textId="77777777" w:rsidR="00534A93" w:rsidRPr="00BE06C5" w:rsidRDefault="00534A93"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Koje su glavne karakteristike predložene reforme Programa poticaja za OE u BIH?</w:t>
      </w:r>
    </w:p>
    <w:p w14:paraId="55ED2D1B" w14:textId="77777777"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Cilj predložene reforme je i </w:t>
      </w:r>
      <w:r w:rsidRPr="00BE06C5">
        <w:rPr>
          <w:rFonts w:ascii="Times New Roman" w:hAnsi="Times New Roman" w:cs="Times New Roman"/>
          <w:b/>
          <w:sz w:val="24"/>
          <w:szCs w:val="24"/>
          <w:lang w:val="hr-HR"/>
        </w:rPr>
        <w:t>smanjenje troška poticaja za obnovljivu energiju</w:t>
      </w:r>
      <w:r w:rsidRPr="00BE06C5">
        <w:rPr>
          <w:rFonts w:ascii="Times New Roman" w:hAnsi="Times New Roman" w:cs="Times New Roman"/>
          <w:sz w:val="24"/>
          <w:szCs w:val="24"/>
          <w:lang w:val="hr-HR"/>
        </w:rPr>
        <w:t xml:space="preserve"> i </w:t>
      </w:r>
      <w:r w:rsidRPr="00BE06C5">
        <w:rPr>
          <w:rFonts w:ascii="Times New Roman" w:hAnsi="Times New Roman" w:cs="Times New Roman"/>
          <w:b/>
          <w:sz w:val="24"/>
          <w:szCs w:val="24"/>
          <w:lang w:val="hr-HR"/>
        </w:rPr>
        <w:t xml:space="preserve">olakšavanje razvoja projekata obnovljive energije </w:t>
      </w:r>
      <w:r w:rsidRPr="00BE06C5">
        <w:rPr>
          <w:rFonts w:ascii="Times New Roman" w:hAnsi="Times New Roman" w:cs="Times New Roman"/>
          <w:sz w:val="24"/>
          <w:szCs w:val="24"/>
          <w:lang w:val="hr-HR"/>
        </w:rPr>
        <w:t xml:space="preserve">u okruženju potpuno liberaliziranog energetskog sektora. </w:t>
      </w:r>
    </w:p>
    <w:p w14:paraId="56D65DBF" w14:textId="77777777" w:rsidR="009451BD" w:rsidRPr="00BE06C5" w:rsidRDefault="009451BD" w:rsidP="00BE06C5">
      <w:pPr>
        <w:pStyle w:val="ListParagraph"/>
        <w:jc w:val="both"/>
        <w:rPr>
          <w:rFonts w:ascii="Times New Roman" w:hAnsi="Times New Roman" w:cs="Times New Roman"/>
          <w:sz w:val="24"/>
          <w:szCs w:val="24"/>
          <w:lang w:val="hr-HR"/>
        </w:rPr>
      </w:pPr>
    </w:p>
    <w:p w14:paraId="1944BA9F" w14:textId="7006FAF4"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Radna grupa je sačinila konkretne prijedloge za program poticaja za reformu obnovljive energije za velika i mala postrojenja</w:t>
      </w:r>
      <w:r w:rsidRPr="00BE06C5">
        <w:rPr>
          <w:rFonts w:ascii="Times New Roman" w:hAnsi="Times New Roman" w:cs="Times New Roman"/>
          <w:b/>
          <w:sz w:val="24"/>
          <w:szCs w:val="24"/>
          <w:lang w:val="hr-HR"/>
        </w:rPr>
        <w:t xml:space="preserve">. Velika postrojenja postat će predmet </w:t>
      </w:r>
      <w:r w:rsidRPr="00BE06C5">
        <w:rPr>
          <w:rFonts w:ascii="Times New Roman" w:hAnsi="Times New Roman" w:cs="Times New Roman"/>
          <w:sz w:val="24"/>
          <w:szCs w:val="24"/>
          <w:lang w:val="hr-HR"/>
        </w:rPr>
        <w:t>poticaja na bazi</w:t>
      </w:r>
      <w:r w:rsidRPr="00BE06C5">
        <w:rPr>
          <w:rFonts w:ascii="Times New Roman" w:hAnsi="Times New Roman" w:cs="Times New Roman"/>
          <w:b/>
          <w:sz w:val="24"/>
          <w:szCs w:val="24"/>
          <w:lang w:val="hr-HR"/>
        </w:rPr>
        <w:t xml:space="preserve"> Poticajne premije (FiP)</w:t>
      </w:r>
      <w:r w:rsidRPr="00BE06C5">
        <w:rPr>
          <w:rFonts w:ascii="Times New Roman" w:hAnsi="Times New Roman" w:cs="Times New Roman"/>
          <w:sz w:val="24"/>
          <w:szCs w:val="24"/>
          <w:lang w:val="hr-HR"/>
        </w:rPr>
        <w:t xml:space="preserve">, dok će </w:t>
      </w:r>
      <w:r w:rsidRPr="00BE06C5">
        <w:rPr>
          <w:rFonts w:ascii="Times New Roman" w:hAnsi="Times New Roman" w:cs="Times New Roman"/>
          <w:b/>
          <w:sz w:val="24"/>
          <w:szCs w:val="24"/>
          <w:lang w:val="hr-HR"/>
        </w:rPr>
        <w:t>mala postrojenja i dalje imati koristi od administrativno utvrđenih Poticajnih cijena (FiT</w:t>
      </w:r>
      <w:r w:rsidRPr="00BE06C5">
        <w:rPr>
          <w:rFonts w:ascii="Times New Roman" w:hAnsi="Times New Roman" w:cs="Times New Roman"/>
          <w:sz w:val="24"/>
          <w:szCs w:val="24"/>
          <w:lang w:val="hr-HR"/>
        </w:rPr>
        <w:t>). Prag između velikih i malih postrojenja bit će utvrđen na osnovu tehnologije, ali tek treba biti definiran. Trenutno se razmatraju pragovi između 200 i 750 kW.</w:t>
      </w:r>
    </w:p>
    <w:p w14:paraId="46A5B98D" w14:textId="77777777" w:rsidR="009451BD" w:rsidRPr="00BE06C5" w:rsidRDefault="009451BD" w:rsidP="00BE06C5">
      <w:pPr>
        <w:pStyle w:val="ListParagraph"/>
        <w:jc w:val="both"/>
        <w:rPr>
          <w:rFonts w:ascii="Times New Roman" w:hAnsi="Times New Roman" w:cs="Times New Roman"/>
          <w:sz w:val="24"/>
          <w:szCs w:val="24"/>
          <w:lang w:val="hr-HR"/>
        </w:rPr>
      </w:pPr>
    </w:p>
    <w:p w14:paraId="412542DF" w14:textId="51F1DC85"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Iznos FiP za velike postrojenja bit će utvrđen putem </w:t>
      </w:r>
      <w:r w:rsidRPr="00BE06C5">
        <w:rPr>
          <w:rFonts w:ascii="Times New Roman" w:hAnsi="Times New Roman" w:cs="Times New Roman"/>
          <w:b/>
          <w:sz w:val="24"/>
          <w:szCs w:val="24"/>
          <w:lang w:val="hr-HR"/>
        </w:rPr>
        <w:t>uvođenja aukcija za vjetroenergiju, solarnu i hidroenergiju</w:t>
      </w:r>
      <w:r w:rsidRPr="00BE06C5">
        <w:rPr>
          <w:rFonts w:ascii="Times New Roman" w:hAnsi="Times New Roman" w:cs="Times New Roman"/>
          <w:sz w:val="24"/>
          <w:szCs w:val="24"/>
          <w:lang w:val="hr-HR"/>
        </w:rPr>
        <w:t xml:space="preserve"> i </w:t>
      </w:r>
      <w:r w:rsidRPr="00BE06C5">
        <w:rPr>
          <w:rFonts w:ascii="Times New Roman" w:hAnsi="Times New Roman" w:cs="Times New Roman"/>
          <w:b/>
          <w:sz w:val="24"/>
          <w:szCs w:val="24"/>
          <w:lang w:val="hr-HR"/>
        </w:rPr>
        <w:t>administrativno putem utvrđene metodologije obračuna za biomasu i biogas</w:t>
      </w:r>
      <w:r w:rsidRPr="00BE06C5">
        <w:rPr>
          <w:rFonts w:ascii="Times New Roman" w:hAnsi="Times New Roman" w:cs="Times New Roman"/>
          <w:sz w:val="24"/>
          <w:szCs w:val="24"/>
          <w:lang w:val="hr-HR"/>
        </w:rPr>
        <w:t xml:space="preserve">. </w:t>
      </w:r>
    </w:p>
    <w:p w14:paraId="36D1FD82" w14:textId="77777777" w:rsidR="009451BD" w:rsidRPr="00BE06C5" w:rsidRDefault="009451BD" w:rsidP="00BE06C5">
      <w:pPr>
        <w:pStyle w:val="ListParagraph"/>
        <w:jc w:val="both"/>
        <w:rPr>
          <w:rFonts w:ascii="Times New Roman" w:hAnsi="Times New Roman" w:cs="Times New Roman"/>
          <w:sz w:val="24"/>
          <w:szCs w:val="24"/>
          <w:lang w:val="hr-HR"/>
        </w:rPr>
      </w:pPr>
    </w:p>
    <w:p w14:paraId="3DE41051" w14:textId="0101A2DF"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FIP će se plaćati velikim proizvođačima OE </w:t>
      </w:r>
      <w:r w:rsidRPr="00BE06C5">
        <w:rPr>
          <w:rFonts w:ascii="Times New Roman" w:hAnsi="Times New Roman" w:cs="Times New Roman"/>
          <w:b/>
          <w:sz w:val="24"/>
          <w:szCs w:val="24"/>
          <w:lang w:val="hr-HR"/>
        </w:rPr>
        <w:t xml:space="preserve">pored prihoda od prodaje električne energije </w:t>
      </w:r>
      <w:r w:rsidRPr="00BE06C5">
        <w:rPr>
          <w:rFonts w:ascii="Times New Roman" w:hAnsi="Times New Roman" w:cs="Times New Roman"/>
          <w:sz w:val="24"/>
          <w:szCs w:val="24"/>
          <w:lang w:val="hr-HR"/>
        </w:rPr>
        <w:t xml:space="preserve">na otvorenom tržištu. Za prelazni period prije utvrđivanja Unutardnevnog tržišta i Tržišta dan unaprijed električne energije u BIH, reforma predviđa uvođenje </w:t>
      </w:r>
      <w:r w:rsidRPr="00BE06C5">
        <w:rPr>
          <w:rFonts w:ascii="Times New Roman" w:hAnsi="Times New Roman" w:cs="Times New Roman"/>
          <w:b/>
          <w:sz w:val="24"/>
          <w:szCs w:val="24"/>
          <w:lang w:val="hr-HR"/>
        </w:rPr>
        <w:t>nove, fleksibilne referentne cijene</w:t>
      </w:r>
      <w:r w:rsidRPr="00BE06C5">
        <w:rPr>
          <w:rFonts w:ascii="Times New Roman" w:hAnsi="Times New Roman" w:cs="Times New Roman"/>
          <w:sz w:val="24"/>
          <w:szCs w:val="24"/>
          <w:lang w:val="hr-HR"/>
        </w:rPr>
        <w:t xml:space="preserve"> na osnovu Metodologije koju definiraju </w:t>
      </w:r>
      <w:r w:rsidRPr="00BE06C5">
        <w:rPr>
          <w:rFonts w:ascii="Times New Roman" w:hAnsi="Times New Roman" w:cs="Times New Roman"/>
          <w:sz w:val="24"/>
          <w:szCs w:val="24"/>
          <w:lang w:val="hr-HR"/>
        </w:rPr>
        <w:lastRenderedPageBreak/>
        <w:t>Regulatorne komisije. Referentna cijena treba odražavati sezonsku i dnevnu potražnju za snabdijevanjem električnom energijom na osnovu simulirane veleprodajne tržišne cijene električne energije.</w:t>
      </w:r>
    </w:p>
    <w:p w14:paraId="18FC8EF1" w14:textId="77777777" w:rsidR="009451BD" w:rsidRPr="00BE06C5" w:rsidRDefault="009451BD" w:rsidP="00BE06C5">
      <w:pPr>
        <w:pStyle w:val="ListParagraph"/>
        <w:jc w:val="both"/>
        <w:rPr>
          <w:rFonts w:ascii="Times New Roman" w:hAnsi="Times New Roman" w:cs="Times New Roman"/>
          <w:sz w:val="24"/>
          <w:szCs w:val="24"/>
          <w:lang w:val="hr-HR"/>
        </w:rPr>
      </w:pPr>
    </w:p>
    <w:p w14:paraId="32EB227A" w14:textId="77777777"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Mala postrojenja do definiranog praga i dalje će biti predmet </w:t>
      </w:r>
      <w:r w:rsidRPr="00BE06C5">
        <w:rPr>
          <w:rFonts w:ascii="Times New Roman" w:hAnsi="Times New Roman" w:cs="Times New Roman"/>
          <w:b/>
          <w:sz w:val="24"/>
          <w:szCs w:val="24"/>
          <w:lang w:val="hr-HR"/>
        </w:rPr>
        <w:t>administrativno utvrđene, tehnološke specifične FiT</w:t>
      </w:r>
      <w:r w:rsidRPr="00BE06C5">
        <w:rPr>
          <w:rFonts w:ascii="Times New Roman" w:hAnsi="Times New Roman" w:cs="Times New Roman"/>
          <w:sz w:val="24"/>
          <w:szCs w:val="24"/>
          <w:lang w:val="hr-HR"/>
        </w:rPr>
        <w:t xml:space="preserve">. FIT dopunjavaju </w:t>
      </w:r>
      <w:r w:rsidRPr="00BE06C5">
        <w:rPr>
          <w:rFonts w:ascii="Times New Roman" w:hAnsi="Times New Roman" w:cs="Times New Roman"/>
          <w:b/>
          <w:sz w:val="24"/>
          <w:szCs w:val="24"/>
          <w:lang w:val="hr-HR"/>
        </w:rPr>
        <w:t>kvote (tj. godišnja ograničenja kapaciteta)</w:t>
      </w:r>
      <w:r w:rsidRPr="00BE06C5">
        <w:rPr>
          <w:rFonts w:ascii="Times New Roman" w:hAnsi="Times New Roman" w:cs="Times New Roman"/>
          <w:sz w:val="24"/>
          <w:szCs w:val="24"/>
          <w:lang w:val="hr-HR"/>
        </w:rPr>
        <w:t xml:space="preserve"> koje upravljaju njenim širenjem, s politikom 'prvi po redoslijedu' kao osnovnim pristupom dodjeli poticaja. Tehnološke kvote sadrže minimalne udjele koje treba ostvariti i daju </w:t>
      </w:r>
      <w:r w:rsidRPr="00BE06C5">
        <w:rPr>
          <w:rFonts w:ascii="Times New Roman" w:hAnsi="Times New Roman" w:cs="Times New Roman"/>
          <w:b/>
          <w:sz w:val="24"/>
          <w:szCs w:val="24"/>
          <w:lang w:val="hr-HR"/>
        </w:rPr>
        <w:t>prioritet energetskim inicijativama lokalne zajednice</w:t>
      </w:r>
      <w:r w:rsidRPr="00BE06C5">
        <w:rPr>
          <w:rFonts w:ascii="Times New Roman" w:hAnsi="Times New Roman" w:cs="Times New Roman"/>
          <w:sz w:val="24"/>
          <w:szCs w:val="24"/>
          <w:lang w:val="hr-HR"/>
        </w:rPr>
        <w:t xml:space="preserve">. </w:t>
      </w:r>
    </w:p>
    <w:p w14:paraId="2AA60E8F" w14:textId="3B57D09E" w:rsidR="009451BD" w:rsidRPr="00BE06C5" w:rsidRDefault="009451BD" w:rsidP="00BE06C5">
      <w:pPr>
        <w:pStyle w:val="ListParagraph"/>
        <w:jc w:val="both"/>
        <w:rPr>
          <w:rFonts w:ascii="Times New Roman" w:hAnsi="Times New Roman" w:cs="Times New Roman"/>
          <w:sz w:val="24"/>
          <w:szCs w:val="24"/>
          <w:lang w:val="hr-HR"/>
        </w:rPr>
      </w:pPr>
      <w:r w:rsidRPr="00BE06C5">
        <w:rPr>
          <w:rFonts w:ascii="Times New Roman" w:hAnsi="Times New Roman" w:cs="Times New Roman"/>
          <w:sz w:val="24"/>
          <w:szCs w:val="24"/>
          <w:lang w:val="hr-HR"/>
        </w:rPr>
        <w:t xml:space="preserve">Kako bi građanima bilo omogućeno aktivno učešće i korist od energetske tranzicije, bit će uspostavljen stabilan i održiv </w:t>
      </w:r>
      <w:r w:rsidRPr="00BE06C5">
        <w:rPr>
          <w:rFonts w:ascii="Times New Roman" w:hAnsi="Times New Roman" w:cs="Times New Roman"/>
          <w:b/>
          <w:sz w:val="24"/>
          <w:szCs w:val="24"/>
          <w:lang w:val="hr-HR"/>
        </w:rPr>
        <w:t>mehanizam za potrošače vlastite energije</w:t>
      </w:r>
      <w:r w:rsidRPr="00BE06C5">
        <w:rPr>
          <w:rFonts w:ascii="Times New Roman" w:hAnsi="Times New Roman" w:cs="Times New Roman"/>
          <w:sz w:val="24"/>
          <w:szCs w:val="24"/>
          <w:lang w:val="hr-HR"/>
        </w:rPr>
        <w:t xml:space="preserve"> (Proizvođači-potrošači</w:t>
      </w:r>
      <w:r w:rsidRPr="00BE06C5">
        <w:rPr>
          <w:rStyle w:val="FootnoteReference"/>
          <w:rFonts w:ascii="Times New Roman" w:hAnsi="Times New Roman" w:cs="Times New Roman"/>
          <w:sz w:val="24"/>
          <w:szCs w:val="24"/>
          <w:lang w:val="hr-HR"/>
        </w:rPr>
        <w:footnoteReference w:id="1"/>
      </w:r>
      <w:r w:rsidRPr="00BE06C5">
        <w:rPr>
          <w:rFonts w:ascii="Times New Roman" w:hAnsi="Times New Roman" w:cs="Times New Roman"/>
          <w:sz w:val="24"/>
          <w:szCs w:val="24"/>
          <w:lang w:val="hr-HR"/>
        </w:rPr>
        <w:t xml:space="preserve">) u oba entiteta. Za proizvođače-potrošače, uvodi se </w:t>
      </w:r>
      <w:r w:rsidRPr="00BE06C5">
        <w:rPr>
          <w:rFonts w:ascii="Times New Roman" w:hAnsi="Times New Roman" w:cs="Times New Roman"/>
          <w:b/>
          <w:sz w:val="24"/>
          <w:szCs w:val="24"/>
          <w:lang w:val="hr-HR"/>
        </w:rPr>
        <w:t>neto naplata</w:t>
      </w:r>
      <w:r w:rsidRPr="00BE06C5">
        <w:rPr>
          <w:rStyle w:val="FootnoteReference"/>
          <w:rFonts w:ascii="Times New Roman" w:hAnsi="Times New Roman" w:cs="Times New Roman"/>
          <w:sz w:val="24"/>
          <w:szCs w:val="24"/>
          <w:lang w:val="hr-HR"/>
        </w:rPr>
        <w:footnoteReference w:id="2"/>
      </w:r>
      <w:r w:rsidRPr="00BE06C5">
        <w:rPr>
          <w:rFonts w:ascii="Times New Roman" w:hAnsi="Times New Roman" w:cs="Times New Roman"/>
          <w:sz w:val="24"/>
          <w:szCs w:val="24"/>
          <w:lang w:val="hr-HR"/>
        </w:rPr>
        <w:t xml:space="preserve"> kao alternativna opcija poticaja za OE, tj. dobavljač treba obračunavati neto snabdijevanje električnom energijom nadoknadom za višak energije kojom se napaja mreža. </w:t>
      </w:r>
    </w:p>
    <w:p w14:paraId="0E617DE5" w14:textId="01967D70" w:rsidR="00534A93" w:rsidRPr="00BE06C5" w:rsidRDefault="00534A93" w:rsidP="00BE06C5">
      <w:pPr>
        <w:pStyle w:val="ListParagraph"/>
        <w:jc w:val="both"/>
        <w:rPr>
          <w:rFonts w:ascii="Times New Roman" w:hAnsi="Times New Roman" w:cs="Times New Roman"/>
          <w:color w:val="FF0000"/>
          <w:sz w:val="24"/>
          <w:szCs w:val="24"/>
          <w:lang w:val="hr-HR"/>
        </w:rPr>
      </w:pPr>
    </w:p>
    <w:p w14:paraId="3432980C" w14:textId="77777777" w:rsidR="009451BD" w:rsidRPr="00BE06C5" w:rsidRDefault="009451BD"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What are the main features of the proposed reform of the RE support schemes in BIH?</w:t>
      </w:r>
    </w:p>
    <w:p w14:paraId="58279147"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The proposed reform aims at both reducing renewable energy support cost and facilitating development of renewable energy projects in a fully liberalized electricity sector environment. </w:t>
      </w:r>
    </w:p>
    <w:p w14:paraId="00FD3DBE"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p>
    <w:p w14:paraId="0E36598C"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The working group made distinctive proposals for the renewable energy support scheme reform for large-scale and for small-scale installations. Large-scale installations shall become subject to Feed-in Premium (</w:t>
      </w:r>
      <w:proofErr w:type="spellStart"/>
      <w:r w:rsidRPr="00BE06C5">
        <w:rPr>
          <w:rFonts w:ascii="Times New Roman" w:hAnsi="Times New Roman" w:cs="Times New Roman"/>
          <w:color w:val="1F4E79" w:themeColor="accent5" w:themeShade="80"/>
          <w:sz w:val="24"/>
          <w:szCs w:val="24"/>
          <w:lang w:val="en-GB"/>
        </w:rPr>
        <w:t>FiP</w:t>
      </w:r>
      <w:proofErr w:type="spellEnd"/>
      <w:r w:rsidRPr="00BE06C5">
        <w:rPr>
          <w:rFonts w:ascii="Times New Roman" w:hAnsi="Times New Roman" w:cs="Times New Roman"/>
          <w:color w:val="1F4E79" w:themeColor="accent5" w:themeShade="80"/>
          <w:sz w:val="24"/>
          <w:szCs w:val="24"/>
          <w:lang w:val="en-GB"/>
        </w:rPr>
        <w:t>) based support, while small-scale installations will continue to benefit from administratively set Feed-in-Tariffs (</w:t>
      </w:r>
      <w:proofErr w:type="spellStart"/>
      <w:r w:rsidRPr="00BE06C5">
        <w:rPr>
          <w:rFonts w:ascii="Times New Roman" w:hAnsi="Times New Roman" w:cs="Times New Roman"/>
          <w:color w:val="1F4E79" w:themeColor="accent5" w:themeShade="80"/>
          <w:sz w:val="24"/>
          <w:szCs w:val="24"/>
          <w:lang w:val="en-GB"/>
        </w:rPr>
        <w:t>FiT</w:t>
      </w:r>
      <w:proofErr w:type="spellEnd"/>
      <w:r w:rsidRPr="00BE06C5">
        <w:rPr>
          <w:rFonts w:ascii="Times New Roman" w:hAnsi="Times New Roman" w:cs="Times New Roman"/>
          <w:color w:val="1F4E79" w:themeColor="accent5" w:themeShade="80"/>
          <w:sz w:val="24"/>
          <w:szCs w:val="24"/>
          <w:lang w:val="en-GB"/>
        </w:rPr>
        <w:t>). The threshold separating large from small scale shall be set technology specific but is yet to be defined. Currently, thresholds between 200 and 750 kW are therefore discussed.</w:t>
      </w:r>
    </w:p>
    <w:p w14:paraId="56161A30"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p>
    <w:p w14:paraId="28F78FF9"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 xml:space="preserve">The amount of </w:t>
      </w:r>
      <w:proofErr w:type="spellStart"/>
      <w:r w:rsidRPr="00BE06C5">
        <w:rPr>
          <w:rFonts w:ascii="Times New Roman" w:hAnsi="Times New Roman" w:cs="Times New Roman"/>
          <w:color w:val="1F4E79" w:themeColor="accent5" w:themeShade="80"/>
          <w:sz w:val="24"/>
          <w:szCs w:val="24"/>
          <w:lang w:val="en-GB"/>
        </w:rPr>
        <w:t>FiP</w:t>
      </w:r>
      <w:proofErr w:type="spellEnd"/>
      <w:r w:rsidRPr="00BE06C5">
        <w:rPr>
          <w:rFonts w:ascii="Times New Roman" w:hAnsi="Times New Roman" w:cs="Times New Roman"/>
          <w:color w:val="1F4E79" w:themeColor="accent5" w:themeShade="80"/>
          <w:sz w:val="24"/>
          <w:szCs w:val="24"/>
          <w:lang w:val="en-GB"/>
        </w:rPr>
        <w:t xml:space="preserve"> for large scale installations shall be set through the introduction of auctions for wind, solar and hydro power and administratively through a defined calculation methodology for biomass and biogas. </w:t>
      </w:r>
    </w:p>
    <w:p w14:paraId="3C5B0E3C"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p>
    <w:p w14:paraId="0C3DF847"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The FIP shall be paid to large-scale RE producers on top of the revenue from the electricity sales on the open market. For the transition period preceding the establishment of the Intra-Day Market and Day-Ahead Electricity Market in BIH, the reform foresees the introduction of a new, flexible reference price based on the Methodology defined by the Regulatory Commissions. The reference price should reflect seasonal and daily demand for electricity supply mirroring simulated wholesale electricity market price.</w:t>
      </w:r>
    </w:p>
    <w:p w14:paraId="406A8586"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p>
    <w:p w14:paraId="4AB7B494" w14:textId="6A5D9D11"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Small-scale installation</w:t>
      </w:r>
      <w:r w:rsidR="0022477F" w:rsidRPr="00BE06C5">
        <w:rPr>
          <w:rFonts w:ascii="Times New Roman" w:hAnsi="Times New Roman" w:cs="Times New Roman"/>
          <w:color w:val="1F4E79" w:themeColor="accent5" w:themeShade="80"/>
          <w:sz w:val="24"/>
          <w:szCs w:val="24"/>
          <w:lang w:val="en-GB"/>
        </w:rPr>
        <w:t>s</w:t>
      </w:r>
      <w:r w:rsidRPr="00BE06C5">
        <w:rPr>
          <w:rFonts w:ascii="Times New Roman" w:hAnsi="Times New Roman" w:cs="Times New Roman"/>
          <w:color w:val="1F4E79" w:themeColor="accent5" w:themeShade="80"/>
          <w:sz w:val="24"/>
          <w:szCs w:val="24"/>
          <w:lang w:val="en-GB"/>
        </w:rPr>
        <w:t xml:space="preserve"> up to the defined threshold shall be continued to be subject to administratively set, technology-specific </w:t>
      </w:r>
      <w:proofErr w:type="spellStart"/>
      <w:r w:rsidRPr="00BE06C5">
        <w:rPr>
          <w:rFonts w:ascii="Times New Roman" w:hAnsi="Times New Roman" w:cs="Times New Roman"/>
          <w:color w:val="1F4E79" w:themeColor="accent5" w:themeShade="80"/>
          <w:sz w:val="24"/>
          <w:szCs w:val="24"/>
          <w:lang w:val="en-GB"/>
        </w:rPr>
        <w:t>FiT</w:t>
      </w:r>
      <w:proofErr w:type="spellEnd"/>
      <w:r w:rsidRPr="00BE06C5">
        <w:rPr>
          <w:rFonts w:ascii="Times New Roman" w:hAnsi="Times New Roman" w:cs="Times New Roman"/>
          <w:color w:val="1F4E79" w:themeColor="accent5" w:themeShade="80"/>
          <w:sz w:val="24"/>
          <w:szCs w:val="24"/>
          <w:lang w:val="en-GB"/>
        </w:rPr>
        <w:t xml:space="preserve">. The FIT shall be complemented by quotas </w:t>
      </w:r>
      <w:r w:rsidRPr="00BE06C5">
        <w:rPr>
          <w:rFonts w:ascii="Times New Roman" w:hAnsi="Times New Roman" w:cs="Times New Roman"/>
          <w:color w:val="1F4E79" w:themeColor="accent5" w:themeShade="80"/>
          <w:sz w:val="24"/>
          <w:szCs w:val="24"/>
          <w:lang w:val="en-GB"/>
        </w:rPr>
        <w:lastRenderedPageBreak/>
        <w:t xml:space="preserve">(i.e. annual capacity limits) to steer their expansion, with a first-come-first-serve policy as a basic approach to the allocation of support. Technology quotas shall contain minimum shares to be filled by and give priority to local community-energy initiatives. </w:t>
      </w:r>
    </w:p>
    <w:p w14:paraId="1F98EF26" w14:textId="77777777"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p>
    <w:p w14:paraId="0556E05F" w14:textId="35CF025F" w:rsidR="009451BD" w:rsidRPr="00BE06C5" w:rsidRDefault="009451BD" w:rsidP="00BE06C5">
      <w:pPr>
        <w:pStyle w:val="ListParagraph"/>
        <w:jc w:val="both"/>
        <w:rPr>
          <w:rFonts w:ascii="Times New Roman" w:hAnsi="Times New Roman" w:cs="Times New Roman"/>
          <w:color w:val="1F4E79" w:themeColor="accent5" w:themeShade="80"/>
          <w:sz w:val="24"/>
          <w:szCs w:val="24"/>
          <w:lang w:val="en-GB"/>
        </w:rPr>
      </w:pPr>
      <w:r w:rsidRPr="00BE06C5">
        <w:rPr>
          <w:rFonts w:ascii="Times New Roman" w:hAnsi="Times New Roman" w:cs="Times New Roman"/>
          <w:color w:val="1F4E79" w:themeColor="accent5" w:themeShade="80"/>
          <w:sz w:val="24"/>
          <w:szCs w:val="24"/>
          <w:lang w:val="en-GB"/>
        </w:rPr>
        <w:t>To allow citizens to actively participate and benefit from the energy transition, a stable and sustainable mechanism for self-consumers (Prosumers) shall be established in both entities. For prosumers, net billing shall be introduced as an alternative option of RE support, i.e. the supplier should “net” electricity supply by remunerating excess energy fed into the grid.</w:t>
      </w:r>
    </w:p>
    <w:p w14:paraId="56DCE2AC" w14:textId="77777777" w:rsidR="00534A93" w:rsidRPr="00BE06C5" w:rsidRDefault="00534A93" w:rsidP="00BE06C5">
      <w:pPr>
        <w:pStyle w:val="ListParagraph"/>
        <w:jc w:val="both"/>
        <w:rPr>
          <w:rFonts w:ascii="Times New Roman" w:hAnsi="Times New Roman" w:cs="Times New Roman"/>
          <w:b/>
          <w:bCs/>
          <w:color w:val="C00000"/>
          <w:sz w:val="24"/>
          <w:szCs w:val="24"/>
        </w:rPr>
      </w:pPr>
    </w:p>
    <w:p w14:paraId="5F94CE71" w14:textId="3EA3C428" w:rsidR="0044184D" w:rsidRPr="00BE06C5" w:rsidRDefault="004C237B"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Kada startuju nove sheme poticaja?</w:t>
      </w:r>
    </w:p>
    <w:p w14:paraId="2CC611F0" w14:textId="6328A55D" w:rsidR="002A2C91" w:rsidRPr="00BE06C5" w:rsidRDefault="002A2C91"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Molimo pogledajte vremenski okvir prikazan u</w:t>
      </w:r>
      <w:r w:rsidR="00973394" w:rsidRPr="00BE06C5">
        <w:rPr>
          <w:rFonts w:ascii="Times New Roman" w:hAnsi="Times New Roman" w:cs="Times New Roman"/>
          <w:sz w:val="24"/>
          <w:szCs w:val="24"/>
        </w:rPr>
        <w:t xml:space="preserve"> sklopu</w:t>
      </w:r>
      <w:r w:rsidRPr="00BE06C5">
        <w:rPr>
          <w:rFonts w:ascii="Times New Roman" w:hAnsi="Times New Roman" w:cs="Times New Roman"/>
          <w:sz w:val="24"/>
          <w:szCs w:val="24"/>
        </w:rPr>
        <w:t xml:space="preserve"> prezentacij</w:t>
      </w:r>
      <w:r w:rsidR="00973394" w:rsidRPr="00BE06C5">
        <w:rPr>
          <w:rFonts w:ascii="Times New Roman" w:hAnsi="Times New Roman" w:cs="Times New Roman"/>
          <w:sz w:val="24"/>
          <w:szCs w:val="24"/>
        </w:rPr>
        <w:t>e</w:t>
      </w:r>
      <w:r w:rsidRPr="00BE06C5">
        <w:rPr>
          <w:rFonts w:ascii="Times New Roman" w:hAnsi="Times New Roman" w:cs="Times New Roman"/>
          <w:sz w:val="24"/>
          <w:szCs w:val="24"/>
        </w:rPr>
        <w:t xml:space="preserve"> </w:t>
      </w:r>
      <w:r w:rsidR="007538DA" w:rsidRPr="00BE06C5">
        <w:rPr>
          <w:rFonts w:ascii="Times New Roman" w:hAnsi="Times New Roman" w:cs="Times New Roman"/>
          <w:sz w:val="24"/>
          <w:szCs w:val="24"/>
        </w:rPr>
        <w:t>„Reforma Sistema Poticaja za OIE u BIH“ (ista dostupna na ovoj web stranici)</w:t>
      </w:r>
      <w:r w:rsidR="0022477F" w:rsidRPr="00BE06C5">
        <w:rPr>
          <w:rFonts w:ascii="Times New Roman" w:hAnsi="Times New Roman" w:cs="Times New Roman"/>
          <w:sz w:val="24"/>
          <w:szCs w:val="24"/>
        </w:rPr>
        <w:t xml:space="preserve">. </w:t>
      </w:r>
      <w:r w:rsidRPr="00BE06C5">
        <w:rPr>
          <w:rFonts w:ascii="Times New Roman" w:hAnsi="Times New Roman" w:cs="Times New Roman"/>
          <w:sz w:val="24"/>
          <w:szCs w:val="24"/>
        </w:rPr>
        <w:t xml:space="preserve">Još uvijek je potrebna konačna politička saglasnost, ali je predloženo da reforma stupi na snagu od 1. </w:t>
      </w:r>
      <w:r w:rsidR="00B96B06" w:rsidRPr="00BE06C5">
        <w:rPr>
          <w:rFonts w:ascii="Times New Roman" w:hAnsi="Times New Roman" w:cs="Times New Roman"/>
          <w:sz w:val="24"/>
          <w:szCs w:val="24"/>
        </w:rPr>
        <w:t>januara</w:t>
      </w:r>
      <w:r w:rsidRPr="00BE06C5">
        <w:rPr>
          <w:rFonts w:ascii="Times New Roman" w:hAnsi="Times New Roman" w:cs="Times New Roman"/>
          <w:sz w:val="24"/>
          <w:szCs w:val="24"/>
        </w:rPr>
        <w:t xml:space="preserve"> 2021. godine.</w:t>
      </w:r>
    </w:p>
    <w:p w14:paraId="2BA8F764" w14:textId="77777777" w:rsidR="002A2C91" w:rsidRPr="00BE06C5" w:rsidRDefault="002A2C91" w:rsidP="00BE06C5">
      <w:pPr>
        <w:pStyle w:val="ListParagraph"/>
        <w:jc w:val="both"/>
        <w:rPr>
          <w:rFonts w:ascii="Times New Roman" w:hAnsi="Times New Roman" w:cs="Times New Roman"/>
          <w:sz w:val="24"/>
          <w:szCs w:val="24"/>
        </w:rPr>
      </w:pPr>
    </w:p>
    <w:p w14:paraId="6AC0AF13" w14:textId="77777777" w:rsidR="001A19E8" w:rsidRPr="00BE06C5" w:rsidRDefault="001A19E8"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When do the new support schemes start?</w:t>
      </w:r>
    </w:p>
    <w:p w14:paraId="7D095D91" w14:textId="4CE83795" w:rsidR="0071419F" w:rsidRPr="00BE06C5" w:rsidRDefault="0071419F"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 xml:space="preserve">Please see the timeline shown in the presentation </w:t>
      </w:r>
      <w:r w:rsidR="007538DA" w:rsidRPr="00BE06C5">
        <w:rPr>
          <w:rFonts w:ascii="Times New Roman" w:hAnsi="Times New Roman" w:cs="Times New Roman"/>
          <w:color w:val="1F4E79" w:themeColor="accent5" w:themeShade="80"/>
          <w:sz w:val="24"/>
          <w:szCs w:val="24"/>
        </w:rPr>
        <w:t>„Reforma Sistema Poticaja za OIE u BIH“ (available on this website)</w:t>
      </w:r>
      <w:r w:rsidRPr="00BE06C5">
        <w:rPr>
          <w:rFonts w:ascii="Times New Roman" w:hAnsi="Times New Roman" w:cs="Times New Roman"/>
          <w:color w:val="1F4E79" w:themeColor="accent5" w:themeShade="80"/>
          <w:sz w:val="24"/>
          <w:szCs w:val="24"/>
        </w:rPr>
        <w:t xml:space="preserve">. Final political consent is </w:t>
      </w:r>
      <w:r w:rsidR="00D74A85" w:rsidRPr="00BE06C5">
        <w:rPr>
          <w:rFonts w:ascii="Times New Roman" w:hAnsi="Times New Roman" w:cs="Times New Roman"/>
          <w:color w:val="1F4E79" w:themeColor="accent5" w:themeShade="80"/>
          <w:sz w:val="24"/>
          <w:szCs w:val="24"/>
        </w:rPr>
        <w:t xml:space="preserve">still </w:t>
      </w:r>
      <w:r w:rsidRPr="00BE06C5">
        <w:rPr>
          <w:rFonts w:ascii="Times New Roman" w:hAnsi="Times New Roman" w:cs="Times New Roman"/>
          <w:color w:val="1F4E79" w:themeColor="accent5" w:themeShade="80"/>
          <w:sz w:val="24"/>
          <w:szCs w:val="24"/>
        </w:rPr>
        <w:t xml:space="preserve">required, but the inception of the reform is </w:t>
      </w:r>
      <w:r w:rsidR="00D74A85" w:rsidRPr="00BE06C5">
        <w:rPr>
          <w:rFonts w:ascii="Times New Roman" w:hAnsi="Times New Roman" w:cs="Times New Roman"/>
          <w:color w:val="1F4E79" w:themeColor="accent5" w:themeShade="80"/>
          <w:sz w:val="24"/>
          <w:szCs w:val="24"/>
        </w:rPr>
        <w:t>proposed</w:t>
      </w:r>
      <w:r w:rsidRPr="00BE06C5">
        <w:rPr>
          <w:rFonts w:ascii="Times New Roman" w:hAnsi="Times New Roman" w:cs="Times New Roman"/>
          <w:color w:val="1F4E79" w:themeColor="accent5" w:themeShade="80"/>
          <w:sz w:val="24"/>
          <w:szCs w:val="24"/>
        </w:rPr>
        <w:t xml:space="preserve"> to come into force by January 1, 2021.</w:t>
      </w:r>
    </w:p>
    <w:p w14:paraId="6B577291" w14:textId="77777777" w:rsidR="0071419F" w:rsidRPr="00BE06C5" w:rsidRDefault="0071419F" w:rsidP="00BE06C5">
      <w:pPr>
        <w:pStyle w:val="ListParagraph"/>
        <w:jc w:val="both"/>
        <w:rPr>
          <w:rFonts w:ascii="Times New Roman" w:hAnsi="Times New Roman" w:cs="Times New Roman"/>
          <w:sz w:val="24"/>
          <w:szCs w:val="24"/>
        </w:rPr>
      </w:pPr>
    </w:p>
    <w:p w14:paraId="14D31E4A" w14:textId="7363F03C" w:rsidR="004C237B" w:rsidRPr="00BE06C5" w:rsidRDefault="004C237B"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Na temelju kojih pokazatelja je predložena granica u iznosu 250kW između malih i velikih instalacija kad su solari u pitanju?</w:t>
      </w:r>
    </w:p>
    <w:p w14:paraId="65EBF44D" w14:textId="77777777" w:rsidR="003B727F" w:rsidRPr="00BE06C5" w:rsidRDefault="003B727F"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Ovdje navedene granične vrijednosti predložene su na temelju:</w:t>
      </w:r>
    </w:p>
    <w:p w14:paraId="1649971A" w14:textId="0EECC9E5" w:rsidR="003B727F" w:rsidRPr="00BE06C5" w:rsidRDefault="003B727F" w:rsidP="00BE06C5">
      <w:pPr>
        <w:pStyle w:val="ListParagraph"/>
        <w:numPr>
          <w:ilvl w:val="0"/>
          <w:numId w:val="6"/>
        </w:numPr>
        <w:jc w:val="both"/>
        <w:rPr>
          <w:rFonts w:ascii="Times New Roman" w:hAnsi="Times New Roman" w:cs="Times New Roman"/>
          <w:sz w:val="24"/>
          <w:szCs w:val="24"/>
        </w:rPr>
      </w:pPr>
      <w:r w:rsidRPr="00BE06C5">
        <w:rPr>
          <w:rFonts w:ascii="Times New Roman" w:hAnsi="Times New Roman" w:cs="Times New Roman"/>
          <w:sz w:val="24"/>
          <w:szCs w:val="24"/>
        </w:rPr>
        <w:t>Zahtjev</w:t>
      </w:r>
      <w:r w:rsidR="00B96B06" w:rsidRPr="00BE06C5">
        <w:rPr>
          <w:rFonts w:ascii="Times New Roman" w:hAnsi="Times New Roman" w:cs="Times New Roman"/>
          <w:sz w:val="24"/>
          <w:szCs w:val="24"/>
        </w:rPr>
        <w:t>a</w:t>
      </w:r>
      <w:r w:rsidRPr="00BE06C5">
        <w:rPr>
          <w:rFonts w:ascii="Times New Roman" w:hAnsi="Times New Roman" w:cs="Times New Roman"/>
          <w:sz w:val="24"/>
          <w:szCs w:val="24"/>
        </w:rPr>
        <w:t xml:space="preserve"> prema čl. (125) EU smjernica o državn</w:t>
      </w:r>
      <w:r w:rsidR="00B96B06" w:rsidRPr="00BE06C5">
        <w:rPr>
          <w:rFonts w:ascii="Times New Roman" w:hAnsi="Times New Roman" w:cs="Times New Roman"/>
          <w:sz w:val="24"/>
          <w:szCs w:val="24"/>
        </w:rPr>
        <w:t>oj pomoći</w:t>
      </w:r>
      <w:r w:rsidRPr="00BE06C5">
        <w:rPr>
          <w:rFonts w:ascii="Times New Roman" w:hAnsi="Times New Roman" w:cs="Times New Roman"/>
          <w:sz w:val="24"/>
          <w:szCs w:val="24"/>
        </w:rPr>
        <w:t xml:space="preserve"> za zaštitu okoliša i energiju 2014-2020</w:t>
      </w:r>
    </w:p>
    <w:p w14:paraId="7DF62192" w14:textId="03C879A8" w:rsidR="003B727F" w:rsidRPr="00BE06C5" w:rsidRDefault="00A80409" w:rsidP="00BE06C5">
      <w:pPr>
        <w:pStyle w:val="ListParagraph"/>
        <w:numPr>
          <w:ilvl w:val="0"/>
          <w:numId w:val="6"/>
        </w:numPr>
        <w:jc w:val="both"/>
        <w:rPr>
          <w:rFonts w:ascii="Times New Roman" w:hAnsi="Times New Roman" w:cs="Times New Roman"/>
          <w:sz w:val="24"/>
          <w:szCs w:val="24"/>
        </w:rPr>
      </w:pPr>
      <w:r w:rsidRPr="00BE06C5">
        <w:rPr>
          <w:rFonts w:ascii="Times New Roman" w:hAnsi="Times New Roman" w:cs="Times New Roman"/>
          <w:sz w:val="24"/>
          <w:szCs w:val="24"/>
        </w:rPr>
        <w:t>Razmatranja vezana uz kontekst, kao što su potrebni napori i vrijeme za pripremu pretkvalifikacijskih kriterija za aukcije (niži za solarnu energiju nego za druge tehnologije), postojeću konkurenciju i spremnost tržišta solarne energije u BiH, relativno niski razvojni rizici projekata solarne energije</w:t>
      </w:r>
    </w:p>
    <w:p w14:paraId="3CEFD3A2" w14:textId="5796D121" w:rsidR="00A80409" w:rsidRPr="00BE06C5" w:rsidRDefault="00A80409" w:rsidP="00BE06C5">
      <w:pPr>
        <w:pStyle w:val="ListParagraph"/>
        <w:ind w:left="1080"/>
        <w:jc w:val="both"/>
        <w:rPr>
          <w:rFonts w:ascii="Times New Roman" w:hAnsi="Times New Roman" w:cs="Times New Roman"/>
          <w:sz w:val="24"/>
          <w:szCs w:val="24"/>
        </w:rPr>
      </w:pPr>
    </w:p>
    <w:p w14:paraId="4FE1D2AD" w14:textId="299CF960" w:rsidR="00A80409" w:rsidRPr="00BE06C5" w:rsidRDefault="00A80409"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 xml:space="preserve">Međutim, predložena postavka </w:t>
      </w:r>
      <w:r w:rsidR="00B1075D" w:rsidRPr="00BE06C5">
        <w:rPr>
          <w:rFonts w:ascii="Times New Roman" w:hAnsi="Times New Roman" w:cs="Times New Roman"/>
          <w:sz w:val="24"/>
          <w:szCs w:val="24"/>
        </w:rPr>
        <w:t>još uvijek podliježe reviziji i prilagodbi prema političkom pristanku.</w:t>
      </w:r>
    </w:p>
    <w:p w14:paraId="5C94440D" w14:textId="77777777" w:rsidR="00A80409" w:rsidRPr="00BE06C5" w:rsidRDefault="00A80409" w:rsidP="00BE06C5">
      <w:pPr>
        <w:pStyle w:val="ListParagraph"/>
        <w:ind w:left="1080"/>
        <w:jc w:val="both"/>
        <w:rPr>
          <w:rFonts w:ascii="Times New Roman" w:hAnsi="Times New Roman" w:cs="Times New Roman"/>
          <w:sz w:val="24"/>
          <w:szCs w:val="24"/>
        </w:rPr>
      </w:pPr>
    </w:p>
    <w:p w14:paraId="023DA8DF" w14:textId="77777777" w:rsidR="001A19E8" w:rsidRPr="00BE06C5" w:rsidRDefault="001A19E8" w:rsidP="00BE06C5">
      <w:pPr>
        <w:pStyle w:val="ListParagraph"/>
        <w:jc w:val="both"/>
        <w:rPr>
          <w:rFonts w:ascii="Times New Roman" w:hAnsi="Times New Roman" w:cs="Times New Roman"/>
          <w:b/>
          <w:bCs/>
          <w:color w:val="1F4E79" w:themeColor="accent5" w:themeShade="80"/>
          <w:sz w:val="24"/>
          <w:szCs w:val="24"/>
          <w:lang w:val="en-US"/>
        </w:rPr>
      </w:pPr>
      <w:r w:rsidRPr="00BE06C5">
        <w:rPr>
          <w:rFonts w:ascii="Times New Roman" w:hAnsi="Times New Roman" w:cs="Times New Roman"/>
          <w:b/>
          <w:bCs/>
          <w:color w:val="1F4E79" w:themeColor="accent5" w:themeShade="80"/>
          <w:sz w:val="24"/>
          <w:szCs w:val="24"/>
          <w:lang w:val="en-US"/>
        </w:rPr>
        <w:t xml:space="preserve">Based on which indicators </w:t>
      </w:r>
      <w:r w:rsidR="000C09B6" w:rsidRPr="00BE06C5">
        <w:rPr>
          <w:rFonts w:ascii="Times New Roman" w:hAnsi="Times New Roman" w:cs="Times New Roman"/>
          <w:b/>
          <w:bCs/>
          <w:color w:val="1F4E79" w:themeColor="accent5" w:themeShade="80"/>
          <w:sz w:val="24"/>
          <w:szCs w:val="24"/>
          <w:lang w:val="en-US"/>
        </w:rPr>
        <w:t>are the thresholds set</w:t>
      </w:r>
      <w:r w:rsidRPr="00BE06C5">
        <w:rPr>
          <w:rFonts w:ascii="Times New Roman" w:hAnsi="Times New Roman" w:cs="Times New Roman"/>
          <w:b/>
          <w:bCs/>
          <w:color w:val="1F4E79" w:themeColor="accent5" w:themeShade="80"/>
          <w:sz w:val="24"/>
          <w:szCs w:val="24"/>
          <w:lang w:val="en-US"/>
        </w:rPr>
        <w:t xml:space="preserve"> between small and large installations of 250kW suggested regarding solar power plants?</w:t>
      </w:r>
    </w:p>
    <w:p w14:paraId="12841808" w14:textId="77777777" w:rsidR="0071419F" w:rsidRPr="00BE06C5" w:rsidRDefault="0071419F"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The here stated thresholds were proposed based on:</w:t>
      </w:r>
    </w:p>
    <w:p w14:paraId="709A940B" w14:textId="77777777" w:rsidR="0071419F" w:rsidRPr="00BE06C5" w:rsidRDefault="0071419F" w:rsidP="00BE06C5">
      <w:pPr>
        <w:pStyle w:val="ListParagraph"/>
        <w:numPr>
          <w:ilvl w:val="0"/>
          <w:numId w:val="3"/>
        </w:numPr>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 xml:space="preserve">Requirements according to Art. (125) of the EU Guidelines on State aid for environmental protection and energy 2014-2020 </w:t>
      </w:r>
    </w:p>
    <w:p w14:paraId="752E501F" w14:textId="77777777" w:rsidR="0071419F" w:rsidRPr="00BE06C5" w:rsidRDefault="0071419F" w:rsidP="00BE06C5">
      <w:pPr>
        <w:pStyle w:val="ListParagraph"/>
        <w:numPr>
          <w:ilvl w:val="0"/>
          <w:numId w:val="3"/>
        </w:numPr>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 xml:space="preserve">Context related considerations such as </w:t>
      </w:r>
      <w:r w:rsidR="00275C24" w:rsidRPr="00BE06C5">
        <w:rPr>
          <w:rFonts w:ascii="Times New Roman" w:hAnsi="Times New Roman" w:cs="Times New Roman"/>
          <w:color w:val="1F4E79" w:themeColor="accent5" w:themeShade="80"/>
          <w:sz w:val="24"/>
          <w:szCs w:val="24"/>
        </w:rPr>
        <w:t>required efforts and time for preparation of pre-qualification criteria</w:t>
      </w:r>
      <w:r w:rsidR="00D74A85" w:rsidRPr="00BE06C5">
        <w:rPr>
          <w:rFonts w:ascii="Times New Roman" w:hAnsi="Times New Roman" w:cs="Times New Roman"/>
          <w:color w:val="1F4E79" w:themeColor="accent5" w:themeShade="80"/>
          <w:sz w:val="24"/>
          <w:szCs w:val="24"/>
        </w:rPr>
        <w:t xml:space="preserve"> for auctions</w:t>
      </w:r>
      <w:r w:rsidR="00275C24" w:rsidRPr="00BE06C5">
        <w:rPr>
          <w:rFonts w:ascii="Times New Roman" w:hAnsi="Times New Roman" w:cs="Times New Roman"/>
          <w:color w:val="1F4E79" w:themeColor="accent5" w:themeShade="80"/>
          <w:sz w:val="24"/>
          <w:szCs w:val="24"/>
        </w:rPr>
        <w:t xml:space="preserve"> (lower for solar power than for other </w:t>
      </w:r>
      <w:r w:rsidR="00D74A85" w:rsidRPr="00BE06C5">
        <w:rPr>
          <w:rFonts w:ascii="Times New Roman" w:hAnsi="Times New Roman" w:cs="Times New Roman"/>
          <w:color w:val="1F4E79" w:themeColor="accent5" w:themeShade="80"/>
          <w:sz w:val="24"/>
          <w:szCs w:val="24"/>
        </w:rPr>
        <w:t>technologies</w:t>
      </w:r>
      <w:r w:rsidR="00275C24" w:rsidRPr="00BE06C5">
        <w:rPr>
          <w:rFonts w:ascii="Times New Roman" w:hAnsi="Times New Roman" w:cs="Times New Roman"/>
          <w:color w:val="1F4E79" w:themeColor="accent5" w:themeShade="80"/>
          <w:sz w:val="24"/>
          <w:szCs w:val="24"/>
        </w:rPr>
        <w:t>), existing competition and market readiness of solar power in BIH, comparetively low development risks of solar power projects</w:t>
      </w:r>
    </w:p>
    <w:p w14:paraId="0CC4A548" w14:textId="099E49E7" w:rsidR="0071419F" w:rsidRPr="00BE06C5" w:rsidRDefault="0071419F" w:rsidP="00BE06C5">
      <w:pPr>
        <w:ind w:left="690"/>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However, the proposed setting is still subject to review and adjustment according to political consent.</w:t>
      </w:r>
    </w:p>
    <w:p w14:paraId="6F0583E9" w14:textId="53A725F1" w:rsidR="001A19E8" w:rsidRPr="00BE06C5" w:rsidRDefault="004C237B"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lastRenderedPageBreak/>
        <w:t>Kada se završava projekat, odnosno kad će biti gotovi završni dokumenti novih shema poticaja?</w:t>
      </w:r>
    </w:p>
    <w:p w14:paraId="4157ADEE" w14:textId="172903D7" w:rsidR="001213F0" w:rsidRPr="00BE06C5" w:rsidRDefault="001213F0"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Molimo pogledajte vremenski okvir prikazan u</w:t>
      </w:r>
      <w:r w:rsidR="00973394" w:rsidRPr="00BE06C5">
        <w:rPr>
          <w:rFonts w:ascii="Times New Roman" w:hAnsi="Times New Roman" w:cs="Times New Roman"/>
          <w:sz w:val="24"/>
          <w:szCs w:val="24"/>
        </w:rPr>
        <w:t xml:space="preserve"> sklopu</w:t>
      </w:r>
      <w:r w:rsidRPr="00BE06C5">
        <w:rPr>
          <w:rFonts w:ascii="Times New Roman" w:hAnsi="Times New Roman" w:cs="Times New Roman"/>
          <w:sz w:val="24"/>
          <w:szCs w:val="24"/>
        </w:rPr>
        <w:t xml:space="preserve"> prezentacij</w:t>
      </w:r>
      <w:r w:rsidR="00973394" w:rsidRPr="00BE06C5">
        <w:rPr>
          <w:rFonts w:ascii="Times New Roman" w:hAnsi="Times New Roman" w:cs="Times New Roman"/>
          <w:sz w:val="24"/>
          <w:szCs w:val="24"/>
        </w:rPr>
        <w:t xml:space="preserve">e </w:t>
      </w:r>
      <w:r w:rsidR="007538DA" w:rsidRPr="00BE06C5">
        <w:rPr>
          <w:rFonts w:ascii="Times New Roman" w:hAnsi="Times New Roman" w:cs="Times New Roman"/>
          <w:sz w:val="24"/>
          <w:szCs w:val="24"/>
        </w:rPr>
        <w:t>„Reforma Sistema Poticaja za OIE u BIH“ (ista dostupna na ovoj web stranici)</w:t>
      </w:r>
      <w:r w:rsidRPr="00BE06C5">
        <w:rPr>
          <w:rFonts w:ascii="Times New Roman" w:hAnsi="Times New Roman" w:cs="Times New Roman"/>
          <w:sz w:val="24"/>
          <w:szCs w:val="24"/>
        </w:rPr>
        <w:t xml:space="preserve">. Konačni dokumenti </w:t>
      </w:r>
      <w:r w:rsidR="00973394" w:rsidRPr="00BE06C5">
        <w:rPr>
          <w:rFonts w:ascii="Times New Roman" w:hAnsi="Times New Roman" w:cs="Times New Roman"/>
          <w:sz w:val="24"/>
          <w:szCs w:val="24"/>
        </w:rPr>
        <w:t xml:space="preserve">će </w:t>
      </w:r>
      <w:r w:rsidRPr="00BE06C5">
        <w:rPr>
          <w:rFonts w:ascii="Times New Roman" w:hAnsi="Times New Roman" w:cs="Times New Roman"/>
          <w:sz w:val="24"/>
          <w:szCs w:val="24"/>
        </w:rPr>
        <w:t>bit</w:t>
      </w:r>
      <w:r w:rsidR="00973394" w:rsidRPr="00BE06C5">
        <w:rPr>
          <w:rFonts w:ascii="Times New Roman" w:hAnsi="Times New Roman" w:cs="Times New Roman"/>
          <w:sz w:val="24"/>
          <w:szCs w:val="24"/>
        </w:rPr>
        <w:t>i</w:t>
      </w:r>
      <w:r w:rsidRPr="00BE06C5">
        <w:rPr>
          <w:rFonts w:ascii="Times New Roman" w:hAnsi="Times New Roman" w:cs="Times New Roman"/>
          <w:sz w:val="24"/>
          <w:szCs w:val="24"/>
        </w:rPr>
        <w:t xml:space="preserve"> predani političkim </w:t>
      </w:r>
      <w:r w:rsidR="00973394" w:rsidRPr="00BE06C5">
        <w:rPr>
          <w:rFonts w:ascii="Times New Roman" w:hAnsi="Times New Roman" w:cs="Times New Roman"/>
          <w:sz w:val="24"/>
          <w:szCs w:val="24"/>
        </w:rPr>
        <w:t>su</w:t>
      </w:r>
      <w:r w:rsidRPr="00BE06C5">
        <w:rPr>
          <w:rFonts w:ascii="Times New Roman" w:hAnsi="Times New Roman" w:cs="Times New Roman"/>
          <w:sz w:val="24"/>
          <w:szCs w:val="24"/>
        </w:rPr>
        <w:t xml:space="preserve">dionicima do kraja </w:t>
      </w:r>
      <w:r w:rsidR="00973394" w:rsidRPr="00BE06C5">
        <w:rPr>
          <w:rFonts w:ascii="Times New Roman" w:hAnsi="Times New Roman" w:cs="Times New Roman"/>
          <w:sz w:val="24"/>
          <w:szCs w:val="24"/>
        </w:rPr>
        <w:t>oktobra</w:t>
      </w:r>
      <w:r w:rsidRPr="00BE06C5">
        <w:rPr>
          <w:rFonts w:ascii="Times New Roman" w:hAnsi="Times New Roman" w:cs="Times New Roman"/>
          <w:sz w:val="24"/>
          <w:szCs w:val="24"/>
        </w:rPr>
        <w:t xml:space="preserve"> 2019. godine.</w:t>
      </w:r>
    </w:p>
    <w:p w14:paraId="4E677E45" w14:textId="77777777" w:rsidR="002A2C91" w:rsidRPr="00BE06C5" w:rsidRDefault="002A2C91" w:rsidP="00BE06C5">
      <w:pPr>
        <w:pStyle w:val="ListParagraph"/>
        <w:jc w:val="both"/>
        <w:rPr>
          <w:rFonts w:ascii="Times New Roman" w:hAnsi="Times New Roman" w:cs="Times New Roman"/>
          <w:sz w:val="24"/>
          <w:szCs w:val="24"/>
        </w:rPr>
      </w:pPr>
    </w:p>
    <w:p w14:paraId="41A269CC" w14:textId="77777777" w:rsidR="004C237B" w:rsidRPr="00BE06C5" w:rsidRDefault="00084D60"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When does the project end or when will the final documents for the new support schemes be finished?</w:t>
      </w:r>
    </w:p>
    <w:p w14:paraId="0EC17D2C" w14:textId="73969271" w:rsidR="00275C24" w:rsidRPr="00BE06C5" w:rsidRDefault="00275C24" w:rsidP="00BE06C5">
      <w:pPr>
        <w:pStyle w:val="ListParagraph"/>
        <w:jc w:val="both"/>
        <w:rPr>
          <w:rFonts w:ascii="Times New Roman" w:hAnsi="Times New Roman" w:cs="Times New Roman"/>
          <w:color w:val="FF0000"/>
          <w:sz w:val="24"/>
          <w:szCs w:val="24"/>
        </w:rPr>
      </w:pPr>
      <w:r w:rsidRPr="00BE06C5">
        <w:rPr>
          <w:rFonts w:ascii="Times New Roman" w:hAnsi="Times New Roman" w:cs="Times New Roman"/>
          <w:color w:val="1F4E79" w:themeColor="accent5" w:themeShade="80"/>
          <w:sz w:val="24"/>
          <w:szCs w:val="24"/>
        </w:rPr>
        <w:t xml:space="preserve">Please see the timeline shown in the </w:t>
      </w:r>
      <w:r w:rsidR="007538DA" w:rsidRPr="00BE06C5">
        <w:rPr>
          <w:rFonts w:ascii="Times New Roman" w:hAnsi="Times New Roman" w:cs="Times New Roman"/>
          <w:color w:val="1F4E79" w:themeColor="accent5" w:themeShade="80"/>
          <w:sz w:val="24"/>
          <w:szCs w:val="24"/>
        </w:rPr>
        <w:t>presentation „Reforma Sistema Poticaja za OIE u BIH“ (available on this website)</w:t>
      </w:r>
      <w:r w:rsidRPr="00BE06C5">
        <w:rPr>
          <w:rFonts w:ascii="Times New Roman" w:hAnsi="Times New Roman" w:cs="Times New Roman"/>
          <w:color w:val="1F4E79" w:themeColor="accent5" w:themeShade="80"/>
          <w:sz w:val="24"/>
          <w:szCs w:val="24"/>
        </w:rPr>
        <w:t>. Final documents will be handed over to political stakeholders by end of October 2019</w:t>
      </w:r>
      <w:r w:rsidRPr="00BE06C5">
        <w:rPr>
          <w:rFonts w:ascii="Times New Roman" w:hAnsi="Times New Roman" w:cs="Times New Roman"/>
          <w:color w:val="FF0000"/>
          <w:sz w:val="24"/>
          <w:szCs w:val="24"/>
        </w:rPr>
        <w:t>.</w:t>
      </w:r>
    </w:p>
    <w:p w14:paraId="010CDD82" w14:textId="77777777" w:rsidR="00343926" w:rsidRPr="00BE06C5" w:rsidRDefault="00343926" w:rsidP="00BE06C5">
      <w:pPr>
        <w:jc w:val="both"/>
        <w:rPr>
          <w:rFonts w:ascii="Times New Roman" w:hAnsi="Times New Roman" w:cs="Times New Roman"/>
          <w:sz w:val="24"/>
          <w:szCs w:val="24"/>
        </w:rPr>
      </w:pPr>
    </w:p>
    <w:p w14:paraId="659A6C29" w14:textId="18A35E07" w:rsidR="00582A99" w:rsidRPr="00BE06C5" w:rsidRDefault="00582A99"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Uporedite koliko bi iznosio period povrata investicije jedne vjetroelektrane sa Feed-in tarifom ili bez nje</w:t>
      </w:r>
      <w:r w:rsidR="006777AB" w:rsidRPr="00BE06C5">
        <w:rPr>
          <w:rFonts w:ascii="Times New Roman" w:hAnsi="Times New Roman" w:cs="Times New Roman"/>
          <w:b/>
          <w:bCs/>
          <w:sz w:val="24"/>
          <w:szCs w:val="24"/>
        </w:rPr>
        <w:t>,</w:t>
      </w:r>
      <w:r w:rsidRPr="00BE06C5">
        <w:rPr>
          <w:rFonts w:ascii="Times New Roman" w:hAnsi="Times New Roman" w:cs="Times New Roman"/>
          <w:b/>
          <w:bCs/>
          <w:sz w:val="24"/>
          <w:szCs w:val="24"/>
        </w:rPr>
        <w:t xml:space="preserve"> odnosno sa novim pristupom</w:t>
      </w:r>
      <w:r w:rsidR="006777AB" w:rsidRPr="00BE06C5">
        <w:rPr>
          <w:rFonts w:ascii="Times New Roman" w:hAnsi="Times New Roman" w:cs="Times New Roman"/>
          <w:b/>
          <w:bCs/>
          <w:sz w:val="24"/>
          <w:szCs w:val="24"/>
        </w:rPr>
        <w:t>?</w:t>
      </w:r>
    </w:p>
    <w:p w14:paraId="1ABB5108" w14:textId="5A734263" w:rsidR="002A2C91" w:rsidRPr="00BE06C5" w:rsidRDefault="00B42680"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 xml:space="preserve">U sklopu novog sistema poticaja, vjetroelektrane slične veličine bit će predmet dodjele FIP za velike instalacije na temelju aukcije. Investitor bi bio odgovoran za proračun i ponudu </w:t>
      </w:r>
      <w:r w:rsidR="00D6529F" w:rsidRPr="00BE06C5">
        <w:rPr>
          <w:rFonts w:ascii="Times New Roman" w:hAnsi="Times New Roman" w:cs="Times New Roman"/>
          <w:sz w:val="24"/>
          <w:szCs w:val="24"/>
        </w:rPr>
        <w:t>nivoa</w:t>
      </w:r>
      <w:r w:rsidRPr="00BE06C5">
        <w:rPr>
          <w:rFonts w:ascii="Times New Roman" w:hAnsi="Times New Roman" w:cs="Times New Roman"/>
          <w:sz w:val="24"/>
          <w:szCs w:val="24"/>
        </w:rPr>
        <w:t xml:space="preserve"> poticaja (FIP) u okviru ponude za projek</w:t>
      </w:r>
      <w:r w:rsidR="00D6529F" w:rsidRPr="00BE06C5">
        <w:rPr>
          <w:rFonts w:ascii="Times New Roman" w:hAnsi="Times New Roman" w:cs="Times New Roman"/>
          <w:sz w:val="24"/>
          <w:szCs w:val="24"/>
        </w:rPr>
        <w:t>a</w:t>
      </w:r>
      <w:r w:rsidRPr="00BE06C5">
        <w:rPr>
          <w:rFonts w:ascii="Times New Roman" w:hAnsi="Times New Roman" w:cs="Times New Roman"/>
          <w:sz w:val="24"/>
          <w:szCs w:val="24"/>
        </w:rPr>
        <w:t>t koji sudjeluje u aukciji. Kako bi mu se dodjelio poticaj, ponuda investitora trebala bi biti konkurentna, jer predloženi mehanizam aukcija predviđa dodjelu poticaja ponuđaču(ima) s najnižom ponudom(ama).</w:t>
      </w:r>
    </w:p>
    <w:p w14:paraId="092213F3" w14:textId="7B63F77D" w:rsidR="00B42680" w:rsidRPr="00BE06C5" w:rsidRDefault="00B42680" w:rsidP="00BE06C5">
      <w:pPr>
        <w:pStyle w:val="ListParagraph"/>
        <w:jc w:val="both"/>
        <w:rPr>
          <w:rFonts w:ascii="Times New Roman" w:hAnsi="Times New Roman" w:cs="Times New Roman"/>
          <w:sz w:val="24"/>
          <w:szCs w:val="24"/>
        </w:rPr>
      </w:pPr>
    </w:p>
    <w:p w14:paraId="451A68AD" w14:textId="0EA3BAF4" w:rsidR="00B42680" w:rsidRPr="00BE06C5" w:rsidRDefault="00973D37"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 xml:space="preserve">Međutim, </w:t>
      </w:r>
      <w:r w:rsidR="005F19AA" w:rsidRPr="00BE06C5">
        <w:rPr>
          <w:rFonts w:ascii="Times New Roman" w:hAnsi="Times New Roman" w:cs="Times New Roman"/>
          <w:sz w:val="24"/>
          <w:szCs w:val="24"/>
        </w:rPr>
        <w:t>nivo</w:t>
      </w:r>
      <w:r w:rsidRPr="00BE06C5">
        <w:rPr>
          <w:rFonts w:ascii="Times New Roman" w:hAnsi="Times New Roman" w:cs="Times New Roman"/>
          <w:sz w:val="24"/>
          <w:szCs w:val="24"/>
        </w:rPr>
        <w:t xml:space="preserve"> FIP-a bit će ograničen kroz gornju granicu, defini</w:t>
      </w:r>
      <w:r w:rsidR="005F19AA" w:rsidRPr="00BE06C5">
        <w:rPr>
          <w:rFonts w:ascii="Times New Roman" w:hAnsi="Times New Roman" w:cs="Times New Roman"/>
          <w:sz w:val="24"/>
          <w:szCs w:val="24"/>
        </w:rPr>
        <w:t>sanu</w:t>
      </w:r>
      <w:r w:rsidRPr="00BE06C5">
        <w:rPr>
          <w:rFonts w:ascii="Times New Roman" w:hAnsi="Times New Roman" w:cs="Times New Roman"/>
          <w:sz w:val="24"/>
          <w:szCs w:val="24"/>
        </w:rPr>
        <w:t xml:space="preserve"> i najavljenu po provedenoj </w:t>
      </w:r>
      <w:r w:rsidR="005F19AA" w:rsidRPr="00BE06C5">
        <w:rPr>
          <w:rFonts w:ascii="Times New Roman" w:hAnsi="Times New Roman" w:cs="Times New Roman"/>
          <w:sz w:val="24"/>
          <w:szCs w:val="24"/>
        </w:rPr>
        <w:t>aukciji</w:t>
      </w:r>
      <w:r w:rsidRPr="00BE06C5">
        <w:rPr>
          <w:rFonts w:ascii="Times New Roman" w:hAnsi="Times New Roman" w:cs="Times New Roman"/>
          <w:sz w:val="24"/>
          <w:szCs w:val="24"/>
        </w:rPr>
        <w:t>.</w:t>
      </w:r>
      <w:r w:rsidR="005F19AA" w:rsidRPr="00BE06C5">
        <w:rPr>
          <w:rFonts w:ascii="Times New Roman" w:hAnsi="Times New Roman" w:cs="Times New Roman"/>
          <w:sz w:val="24"/>
          <w:szCs w:val="24"/>
        </w:rPr>
        <w:t xml:space="preserve"> Formula koja definiše gornju granicu će uzeti u obzir prosječni CAPEX i OPEX i uključuje opšte parametre za profitabilnost po veličini i vrsti tehnologije. Parametri za proračun bili bi podložni prilagodbi po provedenoj aukciji. Što se tiče manjih instalacija, FIT će se računati prema slično definisanoj formuli prema veličini i vrsti tehnologije, te će se svake dvije godine revidirati i ažurirati.</w:t>
      </w:r>
    </w:p>
    <w:p w14:paraId="45217311" w14:textId="77777777" w:rsidR="001661F7" w:rsidRPr="00BE06C5" w:rsidRDefault="001661F7" w:rsidP="00BE06C5">
      <w:pPr>
        <w:pStyle w:val="ListParagraph"/>
        <w:jc w:val="both"/>
        <w:rPr>
          <w:rFonts w:ascii="Times New Roman" w:hAnsi="Times New Roman" w:cs="Times New Roman"/>
          <w:sz w:val="24"/>
          <w:szCs w:val="24"/>
        </w:rPr>
      </w:pPr>
    </w:p>
    <w:p w14:paraId="703459FA" w14:textId="3AEC5C72" w:rsidR="00784165" w:rsidRPr="00BE06C5" w:rsidRDefault="000C09B6"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Provide a comparison on</w:t>
      </w:r>
      <w:r w:rsidR="001666CE" w:rsidRPr="00BE06C5">
        <w:rPr>
          <w:rFonts w:ascii="Times New Roman" w:hAnsi="Times New Roman" w:cs="Times New Roman"/>
          <w:b/>
          <w:bCs/>
          <w:color w:val="1F4E79" w:themeColor="accent5" w:themeShade="80"/>
          <w:sz w:val="24"/>
          <w:szCs w:val="24"/>
        </w:rPr>
        <w:t xml:space="preserve"> how much the investment return period would be for a wind power plant with Feed-in tariff or without it</w:t>
      </w:r>
      <w:r w:rsidR="006777AB" w:rsidRPr="00BE06C5">
        <w:rPr>
          <w:rFonts w:ascii="Times New Roman" w:hAnsi="Times New Roman" w:cs="Times New Roman"/>
          <w:b/>
          <w:bCs/>
          <w:color w:val="1F4E79" w:themeColor="accent5" w:themeShade="80"/>
          <w:sz w:val="24"/>
          <w:szCs w:val="24"/>
        </w:rPr>
        <w:t>, considering the new approach?</w:t>
      </w:r>
    </w:p>
    <w:p w14:paraId="236CC582" w14:textId="77777777" w:rsidR="00C46C6C" w:rsidRPr="00BE06C5" w:rsidRDefault="00472195"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Within the new support system, a</w:t>
      </w:r>
      <w:r w:rsidR="006A4DFC" w:rsidRPr="00BE06C5">
        <w:rPr>
          <w:rFonts w:ascii="Times New Roman" w:hAnsi="Times New Roman" w:cs="Times New Roman"/>
          <w:color w:val="1F4E79" w:themeColor="accent5" w:themeShade="80"/>
          <w:sz w:val="24"/>
          <w:szCs w:val="24"/>
        </w:rPr>
        <w:t xml:space="preserve"> wind power plant</w:t>
      </w:r>
      <w:r w:rsidRPr="00BE06C5">
        <w:rPr>
          <w:rFonts w:ascii="Times New Roman" w:hAnsi="Times New Roman" w:cs="Times New Roman"/>
          <w:color w:val="1F4E79" w:themeColor="accent5" w:themeShade="80"/>
          <w:sz w:val="24"/>
          <w:szCs w:val="24"/>
        </w:rPr>
        <w:t xml:space="preserve"> of a similar size</w:t>
      </w:r>
      <w:r w:rsidR="006A4DFC" w:rsidRPr="00BE06C5">
        <w:rPr>
          <w:rFonts w:ascii="Times New Roman" w:hAnsi="Times New Roman" w:cs="Times New Roman"/>
          <w:color w:val="1F4E79" w:themeColor="accent5" w:themeShade="80"/>
          <w:sz w:val="24"/>
          <w:szCs w:val="24"/>
        </w:rPr>
        <w:t xml:space="preserve"> would be subject to auction-based awarded feed-in-premium for large-scale installations. The investor would be responsible to </w:t>
      </w:r>
      <w:r w:rsidR="00C46C6C" w:rsidRPr="00BE06C5">
        <w:rPr>
          <w:rFonts w:ascii="Times New Roman" w:hAnsi="Times New Roman" w:cs="Times New Roman"/>
          <w:color w:val="1F4E79" w:themeColor="accent5" w:themeShade="80"/>
          <w:sz w:val="24"/>
          <w:szCs w:val="24"/>
        </w:rPr>
        <w:t xml:space="preserve">calculate and </w:t>
      </w:r>
      <w:r w:rsidR="006A4DFC" w:rsidRPr="00BE06C5">
        <w:rPr>
          <w:rFonts w:ascii="Times New Roman" w:hAnsi="Times New Roman" w:cs="Times New Roman"/>
          <w:color w:val="1F4E79" w:themeColor="accent5" w:themeShade="80"/>
          <w:sz w:val="24"/>
          <w:szCs w:val="24"/>
        </w:rPr>
        <w:t xml:space="preserve">offer the level of support (FIP) within the bid for the project that participates in the auction. </w:t>
      </w:r>
      <w:r w:rsidR="00C46C6C" w:rsidRPr="00BE06C5">
        <w:rPr>
          <w:rFonts w:ascii="Times New Roman" w:hAnsi="Times New Roman" w:cs="Times New Roman"/>
          <w:color w:val="1F4E79" w:themeColor="accent5" w:themeShade="80"/>
          <w:sz w:val="24"/>
          <w:szCs w:val="24"/>
        </w:rPr>
        <w:t>In</w:t>
      </w:r>
      <w:r w:rsidR="006A4DFC" w:rsidRPr="00BE06C5">
        <w:rPr>
          <w:rFonts w:ascii="Times New Roman" w:hAnsi="Times New Roman" w:cs="Times New Roman"/>
          <w:color w:val="1F4E79" w:themeColor="accent5" w:themeShade="80"/>
          <w:sz w:val="24"/>
          <w:szCs w:val="24"/>
        </w:rPr>
        <w:t xml:space="preserve"> order to be awarded, the investor`s bid should be competitive, as the proposed auction mechanism foresees the awarding of supported volumes to the bidder(s) with the lowest bid(s). </w:t>
      </w:r>
    </w:p>
    <w:p w14:paraId="1EE1BF1B" w14:textId="77777777" w:rsidR="00C46C6C" w:rsidRPr="00BE06C5" w:rsidRDefault="00C46C6C" w:rsidP="00BE06C5">
      <w:pPr>
        <w:pStyle w:val="ListParagraph"/>
        <w:jc w:val="both"/>
        <w:rPr>
          <w:rFonts w:ascii="Times New Roman" w:hAnsi="Times New Roman" w:cs="Times New Roman"/>
          <w:color w:val="1F4E79" w:themeColor="accent5" w:themeShade="80"/>
          <w:sz w:val="24"/>
          <w:szCs w:val="24"/>
        </w:rPr>
      </w:pPr>
    </w:p>
    <w:p w14:paraId="556D2F19" w14:textId="77777777" w:rsidR="006A4DFC" w:rsidRPr="00BE06C5" w:rsidRDefault="006A4DFC"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However, the level of the FIP shall be limited through an upper cap, defined and announced per implemented auction. The formula defining this upper cap</w:t>
      </w:r>
      <w:r w:rsidR="00C46C6C" w:rsidRPr="00BE06C5">
        <w:rPr>
          <w:rFonts w:ascii="Times New Roman" w:hAnsi="Times New Roman" w:cs="Times New Roman"/>
          <w:color w:val="1F4E79" w:themeColor="accent5" w:themeShade="80"/>
          <w:sz w:val="24"/>
          <w:szCs w:val="24"/>
        </w:rPr>
        <w:t xml:space="preserve"> shall consider average CAPEX and OPEX and includes general parameters for profitability per size and type of technology.  The respective parameters for the calculation </w:t>
      </w:r>
      <w:r w:rsidR="00AA573D" w:rsidRPr="00BE06C5">
        <w:rPr>
          <w:rFonts w:ascii="Times New Roman" w:hAnsi="Times New Roman" w:cs="Times New Roman"/>
          <w:color w:val="1F4E79" w:themeColor="accent5" w:themeShade="80"/>
          <w:sz w:val="24"/>
          <w:szCs w:val="24"/>
        </w:rPr>
        <w:t>would</w:t>
      </w:r>
      <w:r w:rsidR="00C46C6C" w:rsidRPr="00BE06C5">
        <w:rPr>
          <w:rFonts w:ascii="Times New Roman" w:hAnsi="Times New Roman" w:cs="Times New Roman"/>
          <w:color w:val="1F4E79" w:themeColor="accent5" w:themeShade="80"/>
          <w:sz w:val="24"/>
          <w:szCs w:val="24"/>
        </w:rPr>
        <w:t xml:space="preserve"> be subject to adaptation per implemented auction. As for small scale installations, the FIT </w:t>
      </w:r>
      <w:r w:rsidR="00AA573D" w:rsidRPr="00BE06C5">
        <w:rPr>
          <w:rFonts w:ascii="Times New Roman" w:hAnsi="Times New Roman" w:cs="Times New Roman"/>
          <w:color w:val="1F4E79" w:themeColor="accent5" w:themeShade="80"/>
          <w:sz w:val="24"/>
          <w:szCs w:val="24"/>
        </w:rPr>
        <w:t>shall</w:t>
      </w:r>
      <w:r w:rsidR="00C46C6C" w:rsidRPr="00BE06C5">
        <w:rPr>
          <w:rFonts w:ascii="Times New Roman" w:hAnsi="Times New Roman" w:cs="Times New Roman"/>
          <w:color w:val="1F4E79" w:themeColor="accent5" w:themeShade="80"/>
          <w:sz w:val="24"/>
          <w:szCs w:val="24"/>
        </w:rPr>
        <w:t>l be calculated through a similar defined formula per size and type of technology and shall be biannually reviewed and updated.</w:t>
      </w:r>
    </w:p>
    <w:p w14:paraId="58B4A613" w14:textId="77777777" w:rsidR="006A4DFC" w:rsidRPr="00BE06C5" w:rsidRDefault="006A4DFC" w:rsidP="00BE06C5">
      <w:pPr>
        <w:pStyle w:val="ListParagraph"/>
        <w:jc w:val="both"/>
        <w:rPr>
          <w:rFonts w:ascii="Times New Roman" w:hAnsi="Times New Roman" w:cs="Times New Roman"/>
          <w:sz w:val="24"/>
          <w:szCs w:val="24"/>
        </w:rPr>
      </w:pPr>
    </w:p>
    <w:p w14:paraId="263C81B3" w14:textId="02474258" w:rsidR="006777AB" w:rsidRPr="00BE06C5" w:rsidRDefault="006777AB"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Kako je promjena organizirana u nedostatku likvidnog tržišta električne energije?</w:t>
      </w:r>
    </w:p>
    <w:p w14:paraId="02C8D368" w14:textId="328A8369" w:rsidR="00E22663" w:rsidRPr="00BE06C5" w:rsidRDefault="006E3485"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lastRenderedPageBreak/>
        <w:t>Za prijelazn</w:t>
      </w:r>
      <w:r w:rsidR="007A6846" w:rsidRPr="00BE06C5">
        <w:rPr>
          <w:rFonts w:ascii="Times New Roman" w:hAnsi="Times New Roman" w:cs="Times New Roman"/>
          <w:sz w:val="24"/>
          <w:szCs w:val="24"/>
        </w:rPr>
        <w:t>i period</w:t>
      </w:r>
      <w:r w:rsidRPr="00BE06C5">
        <w:rPr>
          <w:rFonts w:ascii="Times New Roman" w:hAnsi="Times New Roman" w:cs="Times New Roman"/>
          <w:sz w:val="24"/>
          <w:szCs w:val="24"/>
        </w:rPr>
        <w:t xml:space="preserve">, dok se ne uspostavi </w:t>
      </w:r>
      <w:r w:rsidR="007A6846" w:rsidRPr="00BE06C5">
        <w:rPr>
          <w:rFonts w:ascii="Times New Roman" w:hAnsi="Times New Roman" w:cs="Times New Roman"/>
          <w:sz w:val="24"/>
          <w:szCs w:val="24"/>
        </w:rPr>
        <w:t>organizovano</w:t>
      </w:r>
      <w:r w:rsidRPr="00BE06C5">
        <w:rPr>
          <w:rFonts w:ascii="Times New Roman" w:hAnsi="Times New Roman" w:cs="Times New Roman"/>
          <w:sz w:val="24"/>
          <w:szCs w:val="24"/>
        </w:rPr>
        <w:t xml:space="preserve"> tržište električne energije (dan unaprijed tržište), proizvođači obnovljivih izvora energije će dobijati naknade od </w:t>
      </w:r>
      <w:r w:rsidR="007A6846" w:rsidRPr="00BE06C5">
        <w:rPr>
          <w:rFonts w:ascii="Times New Roman" w:hAnsi="Times New Roman" w:cs="Times New Roman"/>
          <w:sz w:val="24"/>
          <w:szCs w:val="24"/>
        </w:rPr>
        <w:t>O</w:t>
      </w:r>
      <w:r w:rsidRPr="00BE06C5">
        <w:rPr>
          <w:rFonts w:ascii="Times New Roman" w:hAnsi="Times New Roman" w:cs="Times New Roman"/>
          <w:sz w:val="24"/>
          <w:szCs w:val="24"/>
        </w:rPr>
        <w:t>peratora OIE u vidu FIP i novouveden</w:t>
      </w:r>
      <w:r w:rsidR="00AE4D70" w:rsidRPr="00BE06C5">
        <w:rPr>
          <w:rFonts w:ascii="Times New Roman" w:hAnsi="Times New Roman" w:cs="Times New Roman"/>
          <w:sz w:val="24"/>
          <w:szCs w:val="24"/>
        </w:rPr>
        <w:t>e</w:t>
      </w:r>
      <w:r w:rsidRPr="00BE06C5">
        <w:rPr>
          <w:rFonts w:ascii="Times New Roman" w:hAnsi="Times New Roman" w:cs="Times New Roman"/>
          <w:sz w:val="24"/>
          <w:szCs w:val="24"/>
        </w:rPr>
        <w:t xml:space="preserve"> referent</w:t>
      </w:r>
      <w:r w:rsidR="00AE4D70" w:rsidRPr="00BE06C5">
        <w:rPr>
          <w:rFonts w:ascii="Times New Roman" w:hAnsi="Times New Roman" w:cs="Times New Roman"/>
          <w:sz w:val="24"/>
          <w:szCs w:val="24"/>
        </w:rPr>
        <w:t>ne</w:t>
      </w:r>
      <w:r w:rsidRPr="00BE06C5">
        <w:rPr>
          <w:rFonts w:ascii="Times New Roman" w:hAnsi="Times New Roman" w:cs="Times New Roman"/>
          <w:sz w:val="24"/>
          <w:szCs w:val="24"/>
        </w:rPr>
        <w:t xml:space="preserve"> tržišn</w:t>
      </w:r>
      <w:r w:rsidR="00AE4D70" w:rsidRPr="00BE06C5">
        <w:rPr>
          <w:rFonts w:ascii="Times New Roman" w:hAnsi="Times New Roman" w:cs="Times New Roman"/>
          <w:sz w:val="24"/>
          <w:szCs w:val="24"/>
        </w:rPr>
        <w:t>e</w:t>
      </w:r>
      <w:r w:rsidRPr="00BE06C5">
        <w:rPr>
          <w:rFonts w:ascii="Times New Roman" w:hAnsi="Times New Roman" w:cs="Times New Roman"/>
          <w:sz w:val="24"/>
          <w:szCs w:val="24"/>
        </w:rPr>
        <w:t xml:space="preserve"> cijen</w:t>
      </w:r>
      <w:r w:rsidR="00AE4D70" w:rsidRPr="00BE06C5">
        <w:rPr>
          <w:rFonts w:ascii="Times New Roman" w:hAnsi="Times New Roman" w:cs="Times New Roman"/>
          <w:sz w:val="24"/>
          <w:szCs w:val="24"/>
        </w:rPr>
        <w:t>e</w:t>
      </w:r>
      <w:r w:rsidRPr="00BE06C5">
        <w:rPr>
          <w:rFonts w:ascii="Times New Roman" w:hAnsi="Times New Roman" w:cs="Times New Roman"/>
          <w:sz w:val="24"/>
          <w:szCs w:val="24"/>
        </w:rPr>
        <w:t xml:space="preserve"> (RTC). RTC će se definisati pomoću fiksne formul</w:t>
      </w:r>
      <w:r w:rsidR="00AE4D70" w:rsidRPr="00BE06C5">
        <w:rPr>
          <w:rFonts w:ascii="Times New Roman" w:hAnsi="Times New Roman" w:cs="Times New Roman"/>
          <w:sz w:val="24"/>
          <w:szCs w:val="24"/>
        </w:rPr>
        <w:t xml:space="preserve">e </w:t>
      </w:r>
      <w:r w:rsidR="003732E6" w:rsidRPr="00BE06C5">
        <w:rPr>
          <w:rFonts w:ascii="Times New Roman" w:hAnsi="Times New Roman" w:cs="Times New Roman"/>
          <w:sz w:val="24"/>
          <w:szCs w:val="24"/>
        </w:rPr>
        <w:t>uzimajući u obzir</w:t>
      </w:r>
      <w:r w:rsidRPr="00BE06C5">
        <w:rPr>
          <w:rFonts w:ascii="Times New Roman" w:hAnsi="Times New Roman" w:cs="Times New Roman"/>
          <w:sz w:val="24"/>
          <w:szCs w:val="24"/>
        </w:rPr>
        <w:t xml:space="preserve"> lokalne cijene električne energije i satne cijene iz dan unaprijed tržišta susjednih država (HUPX, SEEPEX, CROPEX).</w:t>
      </w:r>
    </w:p>
    <w:p w14:paraId="3142B80C" w14:textId="77777777" w:rsidR="002A2C91" w:rsidRPr="00BE06C5" w:rsidRDefault="002A2C91" w:rsidP="00BE06C5">
      <w:pPr>
        <w:pStyle w:val="ListParagraph"/>
        <w:jc w:val="both"/>
        <w:rPr>
          <w:rFonts w:ascii="Times New Roman" w:hAnsi="Times New Roman" w:cs="Times New Roman"/>
          <w:sz w:val="24"/>
          <w:szCs w:val="24"/>
        </w:rPr>
      </w:pPr>
    </w:p>
    <w:p w14:paraId="2D43D344" w14:textId="7038091A" w:rsidR="00E22663" w:rsidRPr="00BE06C5" w:rsidRDefault="00E22663" w:rsidP="00BE06C5">
      <w:pPr>
        <w:pStyle w:val="ListParagraph"/>
        <w:jc w:val="both"/>
        <w:rPr>
          <w:rFonts w:ascii="Times New Roman" w:hAnsi="Times New Roman" w:cs="Times New Roman"/>
          <w:b/>
          <w:bCs/>
          <w:color w:val="1F4E79" w:themeColor="accent5" w:themeShade="80"/>
          <w:sz w:val="24"/>
          <w:szCs w:val="24"/>
        </w:rPr>
      </w:pPr>
      <w:r w:rsidRPr="00BE06C5">
        <w:rPr>
          <w:rFonts w:ascii="Times New Roman" w:hAnsi="Times New Roman" w:cs="Times New Roman"/>
          <w:b/>
          <w:bCs/>
          <w:color w:val="1F4E79" w:themeColor="accent5" w:themeShade="80"/>
          <w:sz w:val="24"/>
          <w:szCs w:val="24"/>
        </w:rPr>
        <w:t>How is the FIP organized in the absence of a liquid electricity market?</w:t>
      </w:r>
    </w:p>
    <w:p w14:paraId="7A488764" w14:textId="77777777" w:rsidR="00343926" w:rsidRPr="00BE06C5" w:rsidRDefault="00DA2736"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For the interims period</w:t>
      </w:r>
      <w:r w:rsidR="00AA573D" w:rsidRPr="00BE06C5">
        <w:rPr>
          <w:rFonts w:ascii="Times New Roman" w:hAnsi="Times New Roman" w:cs="Times New Roman"/>
          <w:color w:val="1F4E79" w:themeColor="accent5" w:themeShade="80"/>
          <w:sz w:val="24"/>
          <w:szCs w:val="24"/>
        </w:rPr>
        <w:t>,</w:t>
      </w:r>
      <w:r w:rsidRPr="00BE06C5">
        <w:rPr>
          <w:rFonts w:ascii="Times New Roman" w:hAnsi="Times New Roman" w:cs="Times New Roman"/>
          <w:color w:val="1F4E79" w:themeColor="accent5" w:themeShade="80"/>
          <w:sz w:val="24"/>
          <w:szCs w:val="24"/>
        </w:rPr>
        <w:t xml:space="preserve"> until an open electricity</w:t>
      </w:r>
      <w:r w:rsidR="00686D98" w:rsidRPr="00BE06C5">
        <w:rPr>
          <w:rFonts w:ascii="Times New Roman" w:hAnsi="Times New Roman" w:cs="Times New Roman"/>
          <w:color w:val="1F4E79" w:themeColor="accent5" w:themeShade="80"/>
          <w:sz w:val="24"/>
          <w:szCs w:val="24"/>
        </w:rPr>
        <w:t xml:space="preserve"> </w:t>
      </w:r>
      <w:r w:rsidRPr="00BE06C5">
        <w:rPr>
          <w:rFonts w:ascii="Times New Roman" w:hAnsi="Times New Roman" w:cs="Times New Roman"/>
          <w:color w:val="1F4E79" w:themeColor="accent5" w:themeShade="80"/>
          <w:sz w:val="24"/>
          <w:szCs w:val="24"/>
        </w:rPr>
        <w:t>market (day-ahead-market) is established, RE producers shall be remunerated by the RES Operators with the FIP and the newly introduced Reference Market Price (RMP).</w:t>
      </w:r>
      <w:r w:rsidR="006E0EC5" w:rsidRPr="00BE06C5">
        <w:rPr>
          <w:rFonts w:ascii="Times New Roman" w:hAnsi="Times New Roman" w:cs="Times New Roman"/>
          <w:color w:val="1F4E79" w:themeColor="accent5" w:themeShade="80"/>
          <w:sz w:val="24"/>
          <w:szCs w:val="24"/>
        </w:rPr>
        <w:t xml:space="preserve"> The RMP </w:t>
      </w:r>
      <w:r w:rsidR="006A4DFC" w:rsidRPr="00BE06C5">
        <w:rPr>
          <w:rFonts w:ascii="Times New Roman" w:hAnsi="Times New Roman" w:cs="Times New Roman"/>
          <w:color w:val="1F4E79" w:themeColor="accent5" w:themeShade="80"/>
          <w:sz w:val="24"/>
          <w:szCs w:val="24"/>
        </w:rPr>
        <w:t>will be defined through a fix formula considering local electricity prices and hourly prices from neighbouring day-ahead-markets (HUPX, SEEPEX, CROPEX)</w:t>
      </w:r>
      <w:r w:rsidR="00AA573D" w:rsidRPr="00BE06C5">
        <w:rPr>
          <w:rFonts w:ascii="Times New Roman" w:hAnsi="Times New Roman" w:cs="Times New Roman"/>
          <w:color w:val="1F4E79" w:themeColor="accent5" w:themeShade="80"/>
          <w:sz w:val="24"/>
          <w:szCs w:val="24"/>
        </w:rPr>
        <w:t>.</w:t>
      </w:r>
    </w:p>
    <w:p w14:paraId="031C1A42" w14:textId="77777777" w:rsidR="00E22663" w:rsidRPr="00BE06C5" w:rsidRDefault="00E22663" w:rsidP="00BE06C5">
      <w:pPr>
        <w:pStyle w:val="ListParagraph"/>
        <w:jc w:val="both"/>
        <w:rPr>
          <w:rFonts w:ascii="Times New Roman" w:hAnsi="Times New Roman" w:cs="Times New Roman"/>
          <w:sz w:val="24"/>
          <w:szCs w:val="24"/>
        </w:rPr>
      </w:pPr>
    </w:p>
    <w:p w14:paraId="6FB6E64C" w14:textId="77777777" w:rsidR="0028643F" w:rsidRPr="00BE06C5" w:rsidRDefault="0028643F" w:rsidP="00BE06C5">
      <w:pPr>
        <w:pStyle w:val="ListParagraph"/>
        <w:jc w:val="both"/>
        <w:rPr>
          <w:rFonts w:ascii="Times New Roman" w:hAnsi="Times New Roman" w:cs="Times New Roman"/>
          <w:sz w:val="24"/>
          <w:szCs w:val="24"/>
        </w:rPr>
      </w:pPr>
    </w:p>
    <w:p w14:paraId="56ADF58F" w14:textId="58CC2054" w:rsidR="00582A99" w:rsidRPr="00BE06C5" w:rsidRDefault="00582A99" w:rsidP="00BE06C5">
      <w:pPr>
        <w:pStyle w:val="ListParagraph"/>
        <w:numPr>
          <w:ilvl w:val="0"/>
          <w:numId w:val="1"/>
        </w:numPr>
        <w:jc w:val="both"/>
        <w:rPr>
          <w:rFonts w:ascii="Times New Roman" w:hAnsi="Times New Roman" w:cs="Times New Roman"/>
          <w:b/>
          <w:bCs/>
          <w:sz w:val="24"/>
          <w:szCs w:val="24"/>
        </w:rPr>
      </w:pPr>
      <w:r w:rsidRPr="00BE06C5">
        <w:rPr>
          <w:rFonts w:ascii="Times New Roman" w:hAnsi="Times New Roman" w:cs="Times New Roman"/>
          <w:b/>
          <w:bCs/>
          <w:sz w:val="24"/>
          <w:szCs w:val="24"/>
        </w:rPr>
        <w:t>Na koji period se zaključuju ugovori na osnovu aukcija?</w:t>
      </w:r>
    </w:p>
    <w:p w14:paraId="2A01154D" w14:textId="10D808FB" w:rsidR="00E22663" w:rsidRPr="00BE06C5" w:rsidRDefault="00E22663" w:rsidP="00BE06C5">
      <w:pPr>
        <w:pStyle w:val="ListParagraph"/>
        <w:jc w:val="both"/>
        <w:rPr>
          <w:rFonts w:ascii="Times New Roman" w:hAnsi="Times New Roman" w:cs="Times New Roman"/>
          <w:sz w:val="24"/>
          <w:szCs w:val="24"/>
        </w:rPr>
      </w:pPr>
      <w:r w:rsidRPr="00BE06C5">
        <w:rPr>
          <w:rFonts w:ascii="Times New Roman" w:hAnsi="Times New Roman" w:cs="Times New Roman"/>
          <w:sz w:val="24"/>
          <w:szCs w:val="24"/>
        </w:rPr>
        <w:t>Trenutno prijedlog predviđa razdoblje od 15 godina u oba entiteta. (Može se promijeniti)</w:t>
      </w:r>
    </w:p>
    <w:p w14:paraId="4ADD4279" w14:textId="77777777" w:rsidR="00E22663" w:rsidRPr="00BE06C5" w:rsidRDefault="00E22663" w:rsidP="00BE06C5">
      <w:pPr>
        <w:pStyle w:val="ListParagraph"/>
        <w:jc w:val="both"/>
        <w:rPr>
          <w:rFonts w:ascii="Times New Roman" w:hAnsi="Times New Roman" w:cs="Times New Roman"/>
          <w:color w:val="4472C4" w:themeColor="accent1"/>
          <w:sz w:val="24"/>
          <w:szCs w:val="24"/>
        </w:rPr>
      </w:pPr>
    </w:p>
    <w:p w14:paraId="6AB243D7" w14:textId="77777777" w:rsidR="00DE74D7" w:rsidRPr="00BE06C5" w:rsidRDefault="00DE74D7" w:rsidP="00BE06C5">
      <w:pPr>
        <w:pStyle w:val="ListParagraph"/>
        <w:jc w:val="both"/>
        <w:rPr>
          <w:rFonts w:ascii="Times New Roman" w:hAnsi="Times New Roman" w:cs="Times New Roman"/>
          <w:b/>
          <w:bCs/>
          <w:color w:val="1F4E79" w:themeColor="accent5" w:themeShade="80"/>
          <w:sz w:val="24"/>
          <w:szCs w:val="24"/>
        </w:rPr>
      </w:pPr>
      <w:bookmarkStart w:id="0" w:name="_GoBack"/>
      <w:r w:rsidRPr="00BE06C5">
        <w:rPr>
          <w:rFonts w:ascii="Times New Roman" w:hAnsi="Times New Roman" w:cs="Times New Roman"/>
          <w:b/>
          <w:bCs/>
          <w:color w:val="1F4E79" w:themeColor="accent5" w:themeShade="80"/>
          <w:sz w:val="24"/>
          <w:szCs w:val="24"/>
        </w:rPr>
        <w:t xml:space="preserve">For </w:t>
      </w:r>
      <w:r w:rsidR="000C09B6" w:rsidRPr="00BE06C5">
        <w:rPr>
          <w:rFonts w:ascii="Times New Roman" w:hAnsi="Times New Roman" w:cs="Times New Roman"/>
          <w:b/>
          <w:bCs/>
          <w:color w:val="1F4E79" w:themeColor="accent5" w:themeShade="80"/>
          <w:sz w:val="24"/>
          <w:szCs w:val="24"/>
        </w:rPr>
        <w:t>which</w:t>
      </w:r>
      <w:r w:rsidRPr="00BE06C5">
        <w:rPr>
          <w:rFonts w:ascii="Times New Roman" w:hAnsi="Times New Roman" w:cs="Times New Roman"/>
          <w:b/>
          <w:bCs/>
          <w:color w:val="1F4E79" w:themeColor="accent5" w:themeShade="80"/>
          <w:sz w:val="24"/>
          <w:szCs w:val="24"/>
        </w:rPr>
        <w:t xml:space="preserve"> period is the auction-based contract signed?</w:t>
      </w:r>
    </w:p>
    <w:p w14:paraId="35648383" w14:textId="3C7111FE" w:rsidR="0029257E" w:rsidRPr="00BE06C5" w:rsidRDefault="00343926" w:rsidP="00BE06C5">
      <w:pPr>
        <w:pStyle w:val="ListParagraph"/>
        <w:jc w:val="both"/>
        <w:rPr>
          <w:rFonts w:ascii="Times New Roman" w:hAnsi="Times New Roman" w:cs="Times New Roman"/>
          <w:color w:val="1F4E79" w:themeColor="accent5" w:themeShade="80"/>
          <w:sz w:val="24"/>
          <w:szCs w:val="24"/>
        </w:rPr>
      </w:pPr>
      <w:r w:rsidRPr="00BE06C5">
        <w:rPr>
          <w:rFonts w:ascii="Times New Roman" w:hAnsi="Times New Roman" w:cs="Times New Roman"/>
          <w:color w:val="1F4E79" w:themeColor="accent5" w:themeShade="80"/>
          <w:sz w:val="24"/>
          <w:szCs w:val="24"/>
        </w:rPr>
        <w:t>As of now, the proposal foresees a period of 15 years in both entities. (Can be subject to change)</w:t>
      </w:r>
      <w:bookmarkEnd w:id="0"/>
    </w:p>
    <w:sectPr w:rsidR="0029257E" w:rsidRPr="00BE0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73B7" w14:textId="77777777" w:rsidR="00592503" w:rsidRDefault="00592503" w:rsidP="009451BD">
      <w:pPr>
        <w:spacing w:after="0" w:line="240" w:lineRule="auto"/>
      </w:pPr>
      <w:r>
        <w:separator/>
      </w:r>
    </w:p>
  </w:endnote>
  <w:endnote w:type="continuationSeparator" w:id="0">
    <w:p w14:paraId="647A295A" w14:textId="77777777" w:rsidR="00592503" w:rsidRDefault="00592503" w:rsidP="0094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erif Bold">
    <w:altName w:val="Times New Roman"/>
    <w:panose1 w:val="00000000000000000000"/>
    <w:charset w:val="00"/>
    <w:family w:val="roman"/>
    <w:notTrueType/>
    <w:pitch w:val="variable"/>
    <w:sig w:usb0="A00000BF" w:usb1="4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7C55D" w14:textId="77777777" w:rsidR="00592503" w:rsidRDefault="00592503" w:rsidP="009451BD">
      <w:pPr>
        <w:spacing w:after="0" w:line="240" w:lineRule="auto"/>
      </w:pPr>
      <w:r>
        <w:separator/>
      </w:r>
    </w:p>
  </w:footnote>
  <w:footnote w:type="continuationSeparator" w:id="0">
    <w:p w14:paraId="7B86035F" w14:textId="77777777" w:rsidR="00592503" w:rsidRDefault="00592503" w:rsidP="009451BD">
      <w:pPr>
        <w:spacing w:after="0" w:line="240" w:lineRule="auto"/>
      </w:pPr>
      <w:r>
        <w:continuationSeparator/>
      </w:r>
    </w:p>
  </w:footnote>
  <w:footnote w:id="1">
    <w:p w14:paraId="3F893B79" w14:textId="77777777" w:rsidR="009451BD" w:rsidRPr="00157C7E" w:rsidRDefault="009451BD" w:rsidP="009451BD">
      <w:pPr>
        <w:pStyle w:val="FootnoteText"/>
        <w:rPr>
          <w:rFonts w:asciiTheme="minorHAnsi" w:hAnsiTheme="minorHAnsi" w:cstheme="minorHAnsi"/>
          <w:sz w:val="16"/>
          <w:szCs w:val="16"/>
          <w:lang w:val="hr-HR"/>
        </w:rPr>
      </w:pPr>
      <w:r w:rsidRPr="00157C7E">
        <w:rPr>
          <w:rStyle w:val="FootnoteReference"/>
          <w:rFonts w:asciiTheme="minorHAnsi" w:hAnsiTheme="minorHAnsi" w:cstheme="minorHAnsi"/>
          <w:sz w:val="16"/>
          <w:szCs w:val="16"/>
          <w:lang w:val="hr-HR"/>
        </w:rPr>
        <w:footnoteRef/>
      </w:r>
      <w:r w:rsidRPr="00157C7E">
        <w:rPr>
          <w:rFonts w:asciiTheme="minorHAnsi" w:hAnsiTheme="minorHAnsi" w:cstheme="minorHAnsi"/>
          <w:sz w:val="16"/>
          <w:szCs w:val="16"/>
          <w:lang w:val="hr-HR"/>
        </w:rPr>
        <w:t xml:space="preserve"> </w:t>
      </w:r>
      <w:r w:rsidRPr="00157C7E">
        <w:rPr>
          <w:rFonts w:asciiTheme="minorHAnsi" w:eastAsia="BundesSerif Bold" w:hAnsiTheme="minorHAnsi" w:cstheme="minorHAnsi"/>
          <w:bCs/>
          <w:position w:val="2"/>
          <w:sz w:val="16"/>
          <w:szCs w:val="16"/>
          <w:lang w:val="hr-HR"/>
        </w:rPr>
        <w:t xml:space="preserve">Proizvođači-potrošači </w:t>
      </w:r>
      <w:r>
        <w:rPr>
          <w:rFonts w:asciiTheme="minorHAnsi" w:eastAsia="BundesSerif Bold" w:hAnsiTheme="minorHAnsi" w:cstheme="minorHAnsi"/>
          <w:bCs/>
          <w:position w:val="2"/>
          <w:sz w:val="16"/>
          <w:szCs w:val="16"/>
          <w:lang w:val="hr-HR"/>
        </w:rPr>
        <w:t>ovdje su definirani kao potrošači s malom proizvodnjom OE</w:t>
      </w:r>
      <w:r w:rsidRPr="00157C7E">
        <w:rPr>
          <w:rFonts w:asciiTheme="minorHAnsi" w:eastAsia="BundesSerif Bold" w:hAnsiTheme="minorHAnsi" w:cstheme="minorHAnsi"/>
          <w:bCs/>
          <w:position w:val="2"/>
          <w:sz w:val="16"/>
          <w:szCs w:val="16"/>
          <w:lang w:val="hr-HR"/>
        </w:rPr>
        <w:t xml:space="preserve">, </w:t>
      </w:r>
      <w:r>
        <w:rPr>
          <w:rFonts w:asciiTheme="minorHAnsi" w:eastAsia="BundesSerif Bold" w:hAnsiTheme="minorHAnsi" w:cstheme="minorHAnsi"/>
          <w:bCs/>
          <w:position w:val="2"/>
          <w:sz w:val="16"/>
          <w:szCs w:val="16"/>
          <w:lang w:val="hr-HR"/>
        </w:rPr>
        <w:t>čiji se višak proizvodnje napaja u mrežu</w:t>
      </w:r>
    </w:p>
  </w:footnote>
  <w:footnote w:id="2">
    <w:p w14:paraId="0EBB5B4A" w14:textId="77777777" w:rsidR="009451BD" w:rsidRPr="00157C7E" w:rsidRDefault="009451BD" w:rsidP="009451BD">
      <w:pPr>
        <w:pStyle w:val="FootnoteText"/>
        <w:rPr>
          <w:sz w:val="16"/>
          <w:szCs w:val="16"/>
          <w:lang w:val="hr-HR"/>
        </w:rPr>
      </w:pPr>
      <w:r w:rsidRPr="00157C7E">
        <w:rPr>
          <w:rStyle w:val="FootnoteReference"/>
          <w:rFonts w:asciiTheme="minorHAnsi" w:hAnsiTheme="minorHAnsi" w:cstheme="minorHAnsi"/>
          <w:sz w:val="16"/>
          <w:szCs w:val="16"/>
          <w:lang w:val="hr-HR"/>
        </w:rPr>
        <w:footnoteRef/>
      </w:r>
      <w:r w:rsidRPr="00157C7E">
        <w:rPr>
          <w:rFonts w:asciiTheme="minorHAnsi" w:hAnsiTheme="minorHAnsi" w:cstheme="minorHAnsi"/>
          <w:sz w:val="16"/>
          <w:szCs w:val="16"/>
          <w:lang w:val="hr-HR"/>
        </w:rPr>
        <w:t xml:space="preserve"> </w:t>
      </w:r>
      <w:r>
        <w:rPr>
          <w:rFonts w:asciiTheme="minorHAnsi" w:hAnsiTheme="minorHAnsi" w:cstheme="minorHAnsi"/>
          <w:sz w:val="16"/>
          <w:szCs w:val="16"/>
          <w:lang w:val="hr-HR"/>
        </w:rPr>
        <w:t>Vidjeti dodatno objašnjenje pod</w:t>
      </w:r>
      <w:r w:rsidRPr="00157C7E">
        <w:rPr>
          <w:rFonts w:asciiTheme="minorHAnsi" w:hAnsiTheme="minorHAnsi" w:cstheme="minorHAnsi"/>
          <w:sz w:val="16"/>
          <w:szCs w:val="16"/>
          <w:lang w:val="hr-HR"/>
        </w:rPr>
        <w:t xml:space="preserve">: </w:t>
      </w:r>
      <w:hyperlink r:id="rId1" w:history="1">
        <w:r w:rsidRPr="00157C7E">
          <w:rPr>
            <w:rStyle w:val="Hyperlink"/>
            <w:rFonts w:asciiTheme="minorHAnsi" w:hAnsiTheme="minorHAnsi" w:cstheme="minorHAnsi"/>
            <w:sz w:val="16"/>
            <w:szCs w:val="16"/>
            <w:lang w:val="hr-HR"/>
          </w:rPr>
          <w:t>https://www.energy-community.org/dam/jcr:5e6fd995-f753-4fe2-b180-95df8a1bf19d/PG_01_2018_ECS_RE_grid.pdf</w:t>
        </w:r>
      </w:hyperlink>
      <w:r w:rsidRPr="00157C7E">
        <w:rPr>
          <w:sz w:val="16"/>
          <w:szCs w:val="16"/>
          <w:lang w:val="hr-H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E9"/>
    <w:multiLevelType w:val="hybridMultilevel"/>
    <w:tmpl w:val="6700DC0A"/>
    <w:lvl w:ilvl="0" w:tplc="35C056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D3C4174"/>
    <w:multiLevelType w:val="hybridMultilevel"/>
    <w:tmpl w:val="934E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9621B"/>
    <w:multiLevelType w:val="hybridMultilevel"/>
    <w:tmpl w:val="DE88AADA"/>
    <w:lvl w:ilvl="0" w:tplc="A7D4F80C">
      <w:start w:val="1"/>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2BFF0255"/>
    <w:multiLevelType w:val="hybridMultilevel"/>
    <w:tmpl w:val="5C5A638C"/>
    <w:lvl w:ilvl="0" w:tplc="35C05618">
      <w:start w:val="1"/>
      <w:numFmt w:val="lowerRoman"/>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4" w15:restartNumberingAfterBreak="0">
    <w:nsid w:val="3EFD29A5"/>
    <w:multiLevelType w:val="hybridMultilevel"/>
    <w:tmpl w:val="CAFA59B2"/>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8B5A36"/>
    <w:multiLevelType w:val="hybridMultilevel"/>
    <w:tmpl w:val="A290E0E2"/>
    <w:lvl w:ilvl="0" w:tplc="A7D4F80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6A9633A"/>
    <w:multiLevelType w:val="hybridMultilevel"/>
    <w:tmpl w:val="D27C64E2"/>
    <w:lvl w:ilvl="0" w:tplc="F42CF9F6">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15:restartNumberingAfterBreak="0">
    <w:nsid w:val="6C043654"/>
    <w:multiLevelType w:val="hybridMultilevel"/>
    <w:tmpl w:val="F830FAA0"/>
    <w:lvl w:ilvl="0" w:tplc="6A80277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F00064C"/>
    <w:multiLevelType w:val="hybridMultilevel"/>
    <w:tmpl w:val="618241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3C"/>
    <w:rsid w:val="00010ADE"/>
    <w:rsid w:val="000167A7"/>
    <w:rsid w:val="00017B68"/>
    <w:rsid w:val="000255E2"/>
    <w:rsid w:val="00027652"/>
    <w:rsid w:val="000315D8"/>
    <w:rsid w:val="00031976"/>
    <w:rsid w:val="00041941"/>
    <w:rsid w:val="00042FC6"/>
    <w:rsid w:val="00056B02"/>
    <w:rsid w:val="00062DFE"/>
    <w:rsid w:val="00083EDF"/>
    <w:rsid w:val="00084D60"/>
    <w:rsid w:val="00084E9D"/>
    <w:rsid w:val="00085DBC"/>
    <w:rsid w:val="00093B60"/>
    <w:rsid w:val="00096B75"/>
    <w:rsid w:val="000A6A75"/>
    <w:rsid w:val="000C09B6"/>
    <w:rsid w:val="000C1910"/>
    <w:rsid w:val="000C22DF"/>
    <w:rsid w:val="000D221B"/>
    <w:rsid w:val="000D48F7"/>
    <w:rsid w:val="000D5BC1"/>
    <w:rsid w:val="000E00C8"/>
    <w:rsid w:val="000E5E79"/>
    <w:rsid w:val="00110057"/>
    <w:rsid w:val="00116D34"/>
    <w:rsid w:val="001213F0"/>
    <w:rsid w:val="00122FE5"/>
    <w:rsid w:val="00125808"/>
    <w:rsid w:val="00126094"/>
    <w:rsid w:val="0013195B"/>
    <w:rsid w:val="00135916"/>
    <w:rsid w:val="0013702B"/>
    <w:rsid w:val="001462DD"/>
    <w:rsid w:val="00150A54"/>
    <w:rsid w:val="00153FBB"/>
    <w:rsid w:val="00155AF0"/>
    <w:rsid w:val="001661F7"/>
    <w:rsid w:val="001666CE"/>
    <w:rsid w:val="00177C94"/>
    <w:rsid w:val="00187172"/>
    <w:rsid w:val="00190355"/>
    <w:rsid w:val="001907E8"/>
    <w:rsid w:val="00191FA3"/>
    <w:rsid w:val="0019453D"/>
    <w:rsid w:val="0019520E"/>
    <w:rsid w:val="001A1594"/>
    <w:rsid w:val="001A19E8"/>
    <w:rsid w:val="001A619E"/>
    <w:rsid w:val="001A6FF2"/>
    <w:rsid w:val="001B65ED"/>
    <w:rsid w:val="001C005B"/>
    <w:rsid w:val="001C04C0"/>
    <w:rsid w:val="001C1ED1"/>
    <w:rsid w:val="001C5A4D"/>
    <w:rsid w:val="001D2823"/>
    <w:rsid w:val="001D3CE4"/>
    <w:rsid w:val="001D5F27"/>
    <w:rsid w:val="001D7CAD"/>
    <w:rsid w:val="001E291D"/>
    <w:rsid w:val="001E4C6F"/>
    <w:rsid w:val="001E51B4"/>
    <w:rsid w:val="001E6D8B"/>
    <w:rsid w:val="00202114"/>
    <w:rsid w:val="002037D1"/>
    <w:rsid w:val="002125B0"/>
    <w:rsid w:val="00213F29"/>
    <w:rsid w:val="00216B22"/>
    <w:rsid w:val="0022359E"/>
    <w:rsid w:val="0022413F"/>
    <w:rsid w:val="0022477F"/>
    <w:rsid w:val="00235220"/>
    <w:rsid w:val="002410EA"/>
    <w:rsid w:val="00242471"/>
    <w:rsid w:val="00244F7A"/>
    <w:rsid w:val="002501FA"/>
    <w:rsid w:val="0025069D"/>
    <w:rsid w:val="00254643"/>
    <w:rsid w:val="00275C24"/>
    <w:rsid w:val="00283D30"/>
    <w:rsid w:val="0028643F"/>
    <w:rsid w:val="0029257E"/>
    <w:rsid w:val="00295508"/>
    <w:rsid w:val="002956DA"/>
    <w:rsid w:val="00297474"/>
    <w:rsid w:val="002A2C91"/>
    <w:rsid w:val="002A50C9"/>
    <w:rsid w:val="002A5F4D"/>
    <w:rsid w:val="002B1B2E"/>
    <w:rsid w:val="002B262D"/>
    <w:rsid w:val="002C015F"/>
    <w:rsid w:val="002C188F"/>
    <w:rsid w:val="002C3E59"/>
    <w:rsid w:val="002C5AF6"/>
    <w:rsid w:val="002D0A21"/>
    <w:rsid w:val="002D2972"/>
    <w:rsid w:val="002D5184"/>
    <w:rsid w:val="002D692D"/>
    <w:rsid w:val="002E2F73"/>
    <w:rsid w:val="002E6814"/>
    <w:rsid w:val="002F4212"/>
    <w:rsid w:val="00303D2D"/>
    <w:rsid w:val="00311643"/>
    <w:rsid w:val="00312FE0"/>
    <w:rsid w:val="00313C50"/>
    <w:rsid w:val="00317A2E"/>
    <w:rsid w:val="00323022"/>
    <w:rsid w:val="0032421D"/>
    <w:rsid w:val="00343926"/>
    <w:rsid w:val="00354284"/>
    <w:rsid w:val="0036003C"/>
    <w:rsid w:val="00360235"/>
    <w:rsid w:val="003617A7"/>
    <w:rsid w:val="00366D4F"/>
    <w:rsid w:val="0037037A"/>
    <w:rsid w:val="00372366"/>
    <w:rsid w:val="003732E6"/>
    <w:rsid w:val="003734CB"/>
    <w:rsid w:val="00375819"/>
    <w:rsid w:val="003808DD"/>
    <w:rsid w:val="003878C0"/>
    <w:rsid w:val="003901CC"/>
    <w:rsid w:val="00390DFF"/>
    <w:rsid w:val="00395FEA"/>
    <w:rsid w:val="003A5C45"/>
    <w:rsid w:val="003A5CC6"/>
    <w:rsid w:val="003B5035"/>
    <w:rsid w:val="003B66FD"/>
    <w:rsid w:val="003B727F"/>
    <w:rsid w:val="003B784B"/>
    <w:rsid w:val="003C0244"/>
    <w:rsid w:val="003C3C8D"/>
    <w:rsid w:val="003C523F"/>
    <w:rsid w:val="003D122A"/>
    <w:rsid w:val="003D1C7F"/>
    <w:rsid w:val="003D379B"/>
    <w:rsid w:val="003D6F96"/>
    <w:rsid w:val="003E26DA"/>
    <w:rsid w:val="003E52D8"/>
    <w:rsid w:val="003E5A83"/>
    <w:rsid w:val="003F09F1"/>
    <w:rsid w:val="003F1E6F"/>
    <w:rsid w:val="003F3F30"/>
    <w:rsid w:val="00405BAC"/>
    <w:rsid w:val="00415852"/>
    <w:rsid w:val="0041718D"/>
    <w:rsid w:val="00430713"/>
    <w:rsid w:val="004322C2"/>
    <w:rsid w:val="0044184D"/>
    <w:rsid w:val="00443E4E"/>
    <w:rsid w:val="004444DE"/>
    <w:rsid w:val="00444D54"/>
    <w:rsid w:val="004523D1"/>
    <w:rsid w:val="00454871"/>
    <w:rsid w:val="00464AAF"/>
    <w:rsid w:val="004658EC"/>
    <w:rsid w:val="00472195"/>
    <w:rsid w:val="00475FF2"/>
    <w:rsid w:val="00484CAE"/>
    <w:rsid w:val="00497BD0"/>
    <w:rsid w:val="004A09A1"/>
    <w:rsid w:val="004A14DB"/>
    <w:rsid w:val="004A24E9"/>
    <w:rsid w:val="004B523A"/>
    <w:rsid w:val="004C121F"/>
    <w:rsid w:val="004C237B"/>
    <w:rsid w:val="004D2FBA"/>
    <w:rsid w:val="004D32ED"/>
    <w:rsid w:val="004D4DBB"/>
    <w:rsid w:val="004E3000"/>
    <w:rsid w:val="004E35C0"/>
    <w:rsid w:val="004F0A9F"/>
    <w:rsid w:val="004F7C24"/>
    <w:rsid w:val="005001DE"/>
    <w:rsid w:val="00502C42"/>
    <w:rsid w:val="005062F5"/>
    <w:rsid w:val="00520BF5"/>
    <w:rsid w:val="00533681"/>
    <w:rsid w:val="00534A93"/>
    <w:rsid w:val="0054170B"/>
    <w:rsid w:val="00541814"/>
    <w:rsid w:val="00543727"/>
    <w:rsid w:val="00551BE6"/>
    <w:rsid w:val="00555DFC"/>
    <w:rsid w:val="00557AFA"/>
    <w:rsid w:val="00561B36"/>
    <w:rsid w:val="00565295"/>
    <w:rsid w:val="0056589B"/>
    <w:rsid w:val="00565952"/>
    <w:rsid w:val="0057163B"/>
    <w:rsid w:val="00582A99"/>
    <w:rsid w:val="00590587"/>
    <w:rsid w:val="00592503"/>
    <w:rsid w:val="00594243"/>
    <w:rsid w:val="005974EA"/>
    <w:rsid w:val="005A222C"/>
    <w:rsid w:val="005A2D33"/>
    <w:rsid w:val="005A56E2"/>
    <w:rsid w:val="005B3EB6"/>
    <w:rsid w:val="005B3F8A"/>
    <w:rsid w:val="005B7E8F"/>
    <w:rsid w:val="005C06DA"/>
    <w:rsid w:val="005C2F48"/>
    <w:rsid w:val="005C5567"/>
    <w:rsid w:val="005C61D3"/>
    <w:rsid w:val="005D24D5"/>
    <w:rsid w:val="005D5C1F"/>
    <w:rsid w:val="005D7D5C"/>
    <w:rsid w:val="005E5191"/>
    <w:rsid w:val="005E72D0"/>
    <w:rsid w:val="005F19AA"/>
    <w:rsid w:val="005F6875"/>
    <w:rsid w:val="006115C2"/>
    <w:rsid w:val="00621A5F"/>
    <w:rsid w:val="0062394F"/>
    <w:rsid w:val="006344FF"/>
    <w:rsid w:val="00634AE3"/>
    <w:rsid w:val="00636E35"/>
    <w:rsid w:val="00644BE6"/>
    <w:rsid w:val="00650004"/>
    <w:rsid w:val="006501F9"/>
    <w:rsid w:val="00657452"/>
    <w:rsid w:val="00661405"/>
    <w:rsid w:val="006638FB"/>
    <w:rsid w:val="006673D8"/>
    <w:rsid w:val="00667BBF"/>
    <w:rsid w:val="0067077B"/>
    <w:rsid w:val="006775AB"/>
    <w:rsid w:val="006777AB"/>
    <w:rsid w:val="00686D98"/>
    <w:rsid w:val="006A2DD8"/>
    <w:rsid w:val="006A4DFC"/>
    <w:rsid w:val="006A61F4"/>
    <w:rsid w:val="006B24D4"/>
    <w:rsid w:val="006C002E"/>
    <w:rsid w:val="006C2490"/>
    <w:rsid w:val="006C4589"/>
    <w:rsid w:val="006C6869"/>
    <w:rsid w:val="006D2FA4"/>
    <w:rsid w:val="006D37E4"/>
    <w:rsid w:val="006E0EC5"/>
    <w:rsid w:val="006E3485"/>
    <w:rsid w:val="006F0250"/>
    <w:rsid w:val="006F2ABB"/>
    <w:rsid w:val="00700E70"/>
    <w:rsid w:val="00706ADA"/>
    <w:rsid w:val="0071419F"/>
    <w:rsid w:val="00716240"/>
    <w:rsid w:val="00721358"/>
    <w:rsid w:val="0073227A"/>
    <w:rsid w:val="007323A0"/>
    <w:rsid w:val="007328ED"/>
    <w:rsid w:val="00732A20"/>
    <w:rsid w:val="00742018"/>
    <w:rsid w:val="0074320E"/>
    <w:rsid w:val="007538DA"/>
    <w:rsid w:val="0076298F"/>
    <w:rsid w:val="00762BD6"/>
    <w:rsid w:val="007662C4"/>
    <w:rsid w:val="007673B7"/>
    <w:rsid w:val="0077322F"/>
    <w:rsid w:val="00775107"/>
    <w:rsid w:val="00784165"/>
    <w:rsid w:val="00791D7D"/>
    <w:rsid w:val="00792A09"/>
    <w:rsid w:val="007A02D3"/>
    <w:rsid w:val="007A0E33"/>
    <w:rsid w:val="007A3C70"/>
    <w:rsid w:val="007A4231"/>
    <w:rsid w:val="007A6846"/>
    <w:rsid w:val="007A7159"/>
    <w:rsid w:val="007A7D5E"/>
    <w:rsid w:val="007B271C"/>
    <w:rsid w:val="007B4545"/>
    <w:rsid w:val="007B6480"/>
    <w:rsid w:val="007B657C"/>
    <w:rsid w:val="007C1E2E"/>
    <w:rsid w:val="007D10C3"/>
    <w:rsid w:val="007D526B"/>
    <w:rsid w:val="007D7B4A"/>
    <w:rsid w:val="007F401F"/>
    <w:rsid w:val="00802AB4"/>
    <w:rsid w:val="00812326"/>
    <w:rsid w:val="00817BA8"/>
    <w:rsid w:val="0082398B"/>
    <w:rsid w:val="0083511F"/>
    <w:rsid w:val="00837527"/>
    <w:rsid w:val="008521B2"/>
    <w:rsid w:val="00855B7F"/>
    <w:rsid w:val="008578AE"/>
    <w:rsid w:val="00874D75"/>
    <w:rsid w:val="00877704"/>
    <w:rsid w:val="00877F3A"/>
    <w:rsid w:val="00881950"/>
    <w:rsid w:val="00883478"/>
    <w:rsid w:val="0088418D"/>
    <w:rsid w:val="00897F4D"/>
    <w:rsid w:val="008A1F93"/>
    <w:rsid w:val="008A2006"/>
    <w:rsid w:val="008A34CF"/>
    <w:rsid w:val="008A7697"/>
    <w:rsid w:val="008C76A2"/>
    <w:rsid w:val="008D4637"/>
    <w:rsid w:val="008E00CE"/>
    <w:rsid w:val="008E126E"/>
    <w:rsid w:val="008E406B"/>
    <w:rsid w:val="008E6EE5"/>
    <w:rsid w:val="008F1112"/>
    <w:rsid w:val="008F50B3"/>
    <w:rsid w:val="008F5E06"/>
    <w:rsid w:val="00904CAF"/>
    <w:rsid w:val="00907AFB"/>
    <w:rsid w:val="00937B68"/>
    <w:rsid w:val="00944060"/>
    <w:rsid w:val="009451BD"/>
    <w:rsid w:val="009518BF"/>
    <w:rsid w:val="00952035"/>
    <w:rsid w:val="009538C7"/>
    <w:rsid w:val="009544B9"/>
    <w:rsid w:val="00956379"/>
    <w:rsid w:val="0096312B"/>
    <w:rsid w:val="00973394"/>
    <w:rsid w:val="00973D37"/>
    <w:rsid w:val="00980152"/>
    <w:rsid w:val="009901C3"/>
    <w:rsid w:val="0099673E"/>
    <w:rsid w:val="009A217D"/>
    <w:rsid w:val="009A2B3C"/>
    <w:rsid w:val="009B02B7"/>
    <w:rsid w:val="009B15F6"/>
    <w:rsid w:val="009C07DD"/>
    <w:rsid w:val="009C19A1"/>
    <w:rsid w:val="009C39EF"/>
    <w:rsid w:val="009D0F57"/>
    <w:rsid w:val="009D2587"/>
    <w:rsid w:val="009E1816"/>
    <w:rsid w:val="009E18C7"/>
    <w:rsid w:val="009E2494"/>
    <w:rsid w:val="009F0C59"/>
    <w:rsid w:val="009F1F35"/>
    <w:rsid w:val="009F4996"/>
    <w:rsid w:val="00A002A7"/>
    <w:rsid w:val="00A149FF"/>
    <w:rsid w:val="00A23AFD"/>
    <w:rsid w:val="00A24F93"/>
    <w:rsid w:val="00A27097"/>
    <w:rsid w:val="00A32EED"/>
    <w:rsid w:val="00A41284"/>
    <w:rsid w:val="00A42E08"/>
    <w:rsid w:val="00A45761"/>
    <w:rsid w:val="00A5248A"/>
    <w:rsid w:val="00A61B70"/>
    <w:rsid w:val="00A74DA9"/>
    <w:rsid w:val="00A753C2"/>
    <w:rsid w:val="00A80409"/>
    <w:rsid w:val="00A827E8"/>
    <w:rsid w:val="00A84A32"/>
    <w:rsid w:val="00A84CB2"/>
    <w:rsid w:val="00A84D0C"/>
    <w:rsid w:val="00A87460"/>
    <w:rsid w:val="00A9716B"/>
    <w:rsid w:val="00AA2FC2"/>
    <w:rsid w:val="00AA573D"/>
    <w:rsid w:val="00AB43BF"/>
    <w:rsid w:val="00AB6B86"/>
    <w:rsid w:val="00AC4B92"/>
    <w:rsid w:val="00AD04E5"/>
    <w:rsid w:val="00AD16FB"/>
    <w:rsid w:val="00AD3CF9"/>
    <w:rsid w:val="00AE3EF7"/>
    <w:rsid w:val="00AE4D70"/>
    <w:rsid w:val="00AE6FD0"/>
    <w:rsid w:val="00AF06E7"/>
    <w:rsid w:val="00AF6FE4"/>
    <w:rsid w:val="00AF7B1A"/>
    <w:rsid w:val="00B1075D"/>
    <w:rsid w:val="00B177F7"/>
    <w:rsid w:val="00B35ABE"/>
    <w:rsid w:val="00B40FF0"/>
    <w:rsid w:val="00B41E05"/>
    <w:rsid w:val="00B4251D"/>
    <w:rsid w:val="00B42680"/>
    <w:rsid w:val="00B574FA"/>
    <w:rsid w:val="00B6091D"/>
    <w:rsid w:val="00B614CC"/>
    <w:rsid w:val="00B62797"/>
    <w:rsid w:val="00B63F19"/>
    <w:rsid w:val="00B67F47"/>
    <w:rsid w:val="00B7314E"/>
    <w:rsid w:val="00B870AF"/>
    <w:rsid w:val="00B90F0D"/>
    <w:rsid w:val="00B9406F"/>
    <w:rsid w:val="00B96B06"/>
    <w:rsid w:val="00BA158D"/>
    <w:rsid w:val="00BA1D53"/>
    <w:rsid w:val="00BA2B86"/>
    <w:rsid w:val="00BB04EF"/>
    <w:rsid w:val="00BB47FE"/>
    <w:rsid w:val="00BC3B47"/>
    <w:rsid w:val="00BC42F1"/>
    <w:rsid w:val="00BE06C5"/>
    <w:rsid w:val="00BE54E4"/>
    <w:rsid w:val="00BE6075"/>
    <w:rsid w:val="00BE6E5F"/>
    <w:rsid w:val="00BE719E"/>
    <w:rsid w:val="00BF0DF2"/>
    <w:rsid w:val="00BF31C4"/>
    <w:rsid w:val="00BF58B3"/>
    <w:rsid w:val="00BF6112"/>
    <w:rsid w:val="00BF6F09"/>
    <w:rsid w:val="00C00B98"/>
    <w:rsid w:val="00C06569"/>
    <w:rsid w:val="00C102E4"/>
    <w:rsid w:val="00C124D8"/>
    <w:rsid w:val="00C13C20"/>
    <w:rsid w:val="00C1478F"/>
    <w:rsid w:val="00C14A6D"/>
    <w:rsid w:val="00C15A54"/>
    <w:rsid w:val="00C15B60"/>
    <w:rsid w:val="00C17185"/>
    <w:rsid w:val="00C20569"/>
    <w:rsid w:val="00C20E11"/>
    <w:rsid w:val="00C3206D"/>
    <w:rsid w:val="00C326C8"/>
    <w:rsid w:val="00C32E49"/>
    <w:rsid w:val="00C33020"/>
    <w:rsid w:val="00C37892"/>
    <w:rsid w:val="00C434C1"/>
    <w:rsid w:val="00C46C6C"/>
    <w:rsid w:val="00C5018E"/>
    <w:rsid w:val="00C51904"/>
    <w:rsid w:val="00C52605"/>
    <w:rsid w:val="00C63F84"/>
    <w:rsid w:val="00C64EDE"/>
    <w:rsid w:val="00C65CB4"/>
    <w:rsid w:val="00C77310"/>
    <w:rsid w:val="00C8042B"/>
    <w:rsid w:val="00C821CC"/>
    <w:rsid w:val="00C86BC7"/>
    <w:rsid w:val="00C94F97"/>
    <w:rsid w:val="00CA12B0"/>
    <w:rsid w:val="00CA238B"/>
    <w:rsid w:val="00CA50BD"/>
    <w:rsid w:val="00CB3613"/>
    <w:rsid w:val="00CB40F2"/>
    <w:rsid w:val="00CC59C9"/>
    <w:rsid w:val="00CD11BF"/>
    <w:rsid w:val="00CD1663"/>
    <w:rsid w:val="00CD1F3F"/>
    <w:rsid w:val="00CD4403"/>
    <w:rsid w:val="00CE018E"/>
    <w:rsid w:val="00CF0E70"/>
    <w:rsid w:val="00CF2DD4"/>
    <w:rsid w:val="00CF6526"/>
    <w:rsid w:val="00D034A2"/>
    <w:rsid w:val="00D046AB"/>
    <w:rsid w:val="00D05C87"/>
    <w:rsid w:val="00D12AA5"/>
    <w:rsid w:val="00D139E3"/>
    <w:rsid w:val="00D15544"/>
    <w:rsid w:val="00D17244"/>
    <w:rsid w:val="00D23BF7"/>
    <w:rsid w:val="00D27B4D"/>
    <w:rsid w:val="00D40EF8"/>
    <w:rsid w:val="00D50527"/>
    <w:rsid w:val="00D5566B"/>
    <w:rsid w:val="00D57CFA"/>
    <w:rsid w:val="00D61AF6"/>
    <w:rsid w:val="00D6529F"/>
    <w:rsid w:val="00D657D4"/>
    <w:rsid w:val="00D7312E"/>
    <w:rsid w:val="00D74A85"/>
    <w:rsid w:val="00D842F2"/>
    <w:rsid w:val="00D87E52"/>
    <w:rsid w:val="00D939DB"/>
    <w:rsid w:val="00DA1350"/>
    <w:rsid w:val="00DA2736"/>
    <w:rsid w:val="00DA3720"/>
    <w:rsid w:val="00DB078C"/>
    <w:rsid w:val="00DB497A"/>
    <w:rsid w:val="00DD5B8B"/>
    <w:rsid w:val="00DE2817"/>
    <w:rsid w:val="00DE3525"/>
    <w:rsid w:val="00DE4907"/>
    <w:rsid w:val="00DE50CC"/>
    <w:rsid w:val="00DE63F8"/>
    <w:rsid w:val="00DE74D7"/>
    <w:rsid w:val="00DF11DB"/>
    <w:rsid w:val="00DF5907"/>
    <w:rsid w:val="00E03C85"/>
    <w:rsid w:val="00E1369B"/>
    <w:rsid w:val="00E16A0E"/>
    <w:rsid w:val="00E17EB2"/>
    <w:rsid w:val="00E22663"/>
    <w:rsid w:val="00E24A49"/>
    <w:rsid w:val="00E345FD"/>
    <w:rsid w:val="00E36B8A"/>
    <w:rsid w:val="00E3789C"/>
    <w:rsid w:val="00E473C2"/>
    <w:rsid w:val="00E50584"/>
    <w:rsid w:val="00E50E2A"/>
    <w:rsid w:val="00E64D00"/>
    <w:rsid w:val="00E70234"/>
    <w:rsid w:val="00E771A3"/>
    <w:rsid w:val="00E7775A"/>
    <w:rsid w:val="00E86CAC"/>
    <w:rsid w:val="00EA1605"/>
    <w:rsid w:val="00EA54DF"/>
    <w:rsid w:val="00EA74C3"/>
    <w:rsid w:val="00ED5C26"/>
    <w:rsid w:val="00ED6A65"/>
    <w:rsid w:val="00EE1CF5"/>
    <w:rsid w:val="00EE2CD6"/>
    <w:rsid w:val="00EF4892"/>
    <w:rsid w:val="00F00E3C"/>
    <w:rsid w:val="00F0229B"/>
    <w:rsid w:val="00F05BF6"/>
    <w:rsid w:val="00F0637E"/>
    <w:rsid w:val="00F11CF7"/>
    <w:rsid w:val="00F14F67"/>
    <w:rsid w:val="00F15FBF"/>
    <w:rsid w:val="00F173EA"/>
    <w:rsid w:val="00F25FCA"/>
    <w:rsid w:val="00F27111"/>
    <w:rsid w:val="00F36A20"/>
    <w:rsid w:val="00F37E89"/>
    <w:rsid w:val="00F44248"/>
    <w:rsid w:val="00F5559B"/>
    <w:rsid w:val="00F60146"/>
    <w:rsid w:val="00F62A69"/>
    <w:rsid w:val="00F63BC3"/>
    <w:rsid w:val="00F75F34"/>
    <w:rsid w:val="00F775DD"/>
    <w:rsid w:val="00F80781"/>
    <w:rsid w:val="00F822DF"/>
    <w:rsid w:val="00F851F1"/>
    <w:rsid w:val="00F9171B"/>
    <w:rsid w:val="00FA4917"/>
    <w:rsid w:val="00FA50E1"/>
    <w:rsid w:val="00FA5F97"/>
    <w:rsid w:val="00FB64D1"/>
    <w:rsid w:val="00FB6826"/>
    <w:rsid w:val="00FC17B8"/>
    <w:rsid w:val="00FC3C8A"/>
    <w:rsid w:val="00FC47F0"/>
    <w:rsid w:val="00FD21DA"/>
    <w:rsid w:val="00FD2869"/>
    <w:rsid w:val="00FD2F49"/>
    <w:rsid w:val="00FD6FAD"/>
    <w:rsid w:val="00FD78A6"/>
    <w:rsid w:val="00FE35E8"/>
    <w:rsid w:val="00FE37F5"/>
    <w:rsid w:val="00FE3E07"/>
    <w:rsid w:val="00FE5DF4"/>
    <w:rsid w:val="00FF154E"/>
    <w:rsid w:val="00FF3310"/>
    <w:rsid w:val="00FF54A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CA2A"/>
  <w15:chartTrackingRefBased/>
  <w15:docId w15:val="{0FF3141D-612F-45B0-9179-4C486057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7B"/>
    <w:pPr>
      <w:ind w:left="720"/>
      <w:contextualSpacing/>
    </w:pPr>
  </w:style>
  <w:style w:type="character" w:styleId="Hyperlink">
    <w:name w:val="Hyperlink"/>
    <w:basedOn w:val="DefaultParagraphFont"/>
    <w:uiPriority w:val="99"/>
    <w:unhideWhenUsed/>
    <w:rsid w:val="0028643F"/>
    <w:rPr>
      <w:color w:val="0563C1" w:themeColor="hyperlink"/>
      <w:u w:val="single"/>
    </w:rPr>
  </w:style>
  <w:style w:type="character" w:styleId="UnresolvedMention">
    <w:name w:val="Unresolved Mention"/>
    <w:basedOn w:val="DefaultParagraphFont"/>
    <w:uiPriority w:val="99"/>
    <w:semiHidden/>
    <w:unhideWhenUsed/>
    <w:rsid w:val="0028643F"/>
    <w:rPr>
      <w:color w:val="605E5C"/>
      <w:shd w:val="clear" w:color="auto" w:fill="E1DFDD"/>
    </w:rPr>
  </w:style>
  <w:style w:type="paragraph" w:styleId="FootnoteText">
    <w:name w:val="footnote text"/>
    <w:basedOn w:val="Normal"/>
    <w:link w:val="FootnoteTextChar"/>
    <w:uiPriority w:val="99"/>
    <w:semiHidden/>
    <w:unhideWhenUsed/>
    <w:rsid w:val="009451BD"/>
    <w:pPr>
      <w:spacing w:after="0" w:line="240" w:lineRule="auto"/>
    </w:pPr>
    <w:rPr>
      <w:rFonts w:ascii="Calibri" w:hAnsi="Calibri" w:cs="Calibri"/>
      <w:sz w:val="20"/>
      <w:szCs w:val="20"/>
      <w:lang w:val="de-DE"/>
    </w:rPr>
  </w:style>
  <w:style w:type="character" w:customStyle="1" w:styleId="FootnoteTextChar">
    <w:name w:val="Footnote Text Char"/>
    <w:basedOn w:val="DefaultParagraphFont"/>
    <w:link w:val="FootnoteText"/>
    <w:uiPriority w:val="99"/>
    <w:semiHidden/>
    <w:rsid w:val="009451BD"/>
    <w:rPr>
      <w:rFonts w:ascii="Calibri" w:hAnsi="Calibri" w:cs="Calibri"/>
      <w:sz w:val="20"/>
      <w:szCs w:val="20"/>
      <w:lang w:val="de-DE"/>
    </w:rPr>
  </w:style>
  <w:style w:type="character" w:styleId="FootnoteReference">
    <w:name w:val="footnote reference"/>
    <w:basedOn w:val="DefaultParagraphFont"/>
    <w:uiPriority w:val="99"/>
    <w:semiHidden/>
    <w:unhideWhenUsed/>
    <w:rsid w:val="00945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9049">
      <w:bodyDiv w:val="1"/>
      <w:marLeft w:val="0"/>
      <w:marRight w:val="0"/>
      <w:marTop w:val="0"/>
      <w:marBottom w:val="0"/>
      <w:divBdr>
        <w:top w:val="none" w:sz="0" w:space="0" w:color="auto"/>
        <w:left w:val="none" w:sz="0" w:space="0" w:color="auto"/>
        <w:bottom w:val="none" w:sz="0" w:space="0" w:color="auto"/>
        <w:right w:val="none" w:sz="0" w:space="0" w:color="auto"/>
      </w:divBdr>
      <w:divsChild>
        <w:div w:id="1226796710">
          <w:marLeft w:val="0"/>
          <w:marRight w:val="0"/>
          <w:marTop w:val="0"/>
          <w:marBottom w:val="0"/>
          <w:divBdr>
            <w:top w:val="none" w:sz="0" w:space="0" w:color="auto"/>
            <w:left w:val="none" w:sz="0" w:space="0" w:color="auto"/>
            <w:bottom w:val="none" w:sz="0" w:space="0" w:color="auto"/>
            <w:right w:val="none" w:sz="0" w:space="0" w:color="auto"/>
          </w:divBdr>
          <w:divsChild>
            <w:div w:id="1672367682">
              <w:marLeft w:val="0"/>
              <w:marRight w:val="0"/>
              <w:marTop w:val="0"/>
              <w:marBottom w:val="0"/>
              <w:divBdr>
                <w:top w:val="none" w:sz="0" w:space="0" w:color="auto"/>
                <w:left w:val="none" w:sz="0" w:space="0" w:color="auto"/>
                <w:bottom w:val="none" w:sz="0" w:space="0" w:color="auto"/>
                <w:right w:val="none" w:sz="0" w:space="0" w:color="auto"/>
              </w:divBdr>
              <w:divsChild>
                <w:div w:id="1274626986">
                  <w:marLeft w:val="0"/>
                  <w:marRight w:val="0"/>
                  <w:marTop w:val="0"/>
                  <w:marBottom w:val="0"/>
                  <w:divBdr>
                    <w:top w:val="none" w:sz="0" w:space="0" w:color="auto"/>
                    <w:left w:val="none" w:sz="0" w:space="0" w:color="auto"/>
                    <w:bottom w:val="none" w:sz="0" w:space="0" w:color="auto"/>
                    <w:right w:val="none" w:sz="0" w:space="0" w:color="auto"/>
                  </w:divBdr>
                  <w:divsChild>
                    <w:div w:id="1235778557">
                      <w:marLeft w:val="0"/>
                      <w:marRight w:val="0"/>
                      <w:marTop w:val="0"/>
                      <w:marBottom w:val="0"/>
                      <w:divBdr>
                        <w:top w:val="none" w:sz="0" w:space="0" w:color="auto"/>
                        <w:left w:val="none" w:sz="0" w:space="0" w:color="auto"/>
                        <w:bottom w:val="none" w:sz="0" w:space="0" w:color="auto"/>
                        <w:right w:val="none" w:sz="0" w:space="0" w:color="auto"/>
                      </w:divBdr>
                      <w:divsChild>
                        <w:div w:id="280770949">
                          <w:marLeft w:val="0"/>
                          <w:marRight w:val="0"/>
                          <w:marTop w:val="0"/>
                          <w:marBottom w:val="0"/>
                          <w:divBdr>
                            <w:top w:val="none" w:sz="0" w:space="0" w:color="auto"/>
                            <w:left w:val="none" w:sz="0" w:space="0" w:color="auto"/>
                            <w:bottom w:val="none" w:sz="0" w:space="0" w:color="auto"/>
                            <w:right w:val="none" w:sz="0" w:space="0" w:color="auto"/>
                          </w:divBdr>
                          <w:divsChild>
                            <w:div w:id="1340039509">
                              <w:marLeft w:val="0"/>
                              <w:marRight w:val="300"/>
                              <w:marTop w:val="180"/>
                              <w:marBottom w:val="0"/>
                              <w:divBdr>
                                <w:top w:val="none" w:sz="0" w:space="0" w:color="auto"/>
                                <w:left w:val="none" w:sz="0" w:space="0" w:color="auto"/>
                                <w:bottom w:val="none" w:sz="0" w:space="0" w:color="auto"/>
                                <w:right w:val="none" w:sz="0" w:space="0" w:color="auto"/>
                              </w:divBdr>
                              <w:divsChild>
                                <w:div w:id="9301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1634">
          <w:marLeft w:val="0"/>
          <w:marRight w:val="0"/>
          <w:marTop w:val="0"/>
          <w:marBottom w:val="0"/>
          <w:divBdr>
            <w:top w:val="none" w:sz="0" w:space="0" w:color="auto"/>
            <w:left w:val="none" w:sz="0" w:space="0" w:color="auto"/>
            <w:bottom w:val="none" w:sz="0" w:space="0" w:color="auto"/>
            <w:right w:val="none" w:sz="0" w:space="0" w:color="auto"/>
          </w:divBdr>
          <w:divsChild>
            <w:div w:id="660502276">
              <w:marLeft w:val="0"/>
              <w:marRight w:val="0"/>
              <w:marTop w:val="0"/>
              <w:marBottom w:val="0"/>
              <w:divBdr>
                <w:top w:val="none" w:sz="0" w:space="0" w:color="auto"/>
                <w:left w:val="none" w:sz="0" w:space="0" w:color="auto"/>
                <w:bottom w:val="none" w:sz="0" w:space="0" w:color="auto"/>
                <w:right w:val="none" w:sz="0" w:space="0" w:color="auto"/>
              </w:divBdr>
              <w:divsChild>
                <w:div w:id="1011030919">
                  <w:marLeft w:val="0"/>
                  <w:marRight w:val="0"/>
                  <w:marTop w:val="0"/>
                  <w:marBottom w:val="0"/>
                  <w:divBdr>
                    <w:top w:val="none" w:sz="0" w:space="0" w:color="auto"/>
                    <w:left w:val="none" w:sz="0" w:space="0" w:color="auto"/>
                    <w:bottom w:val="none" w:sz="0" w:space="0" w:color="auto"/>
                    <w:right w:val="none" w:sz="0" w:space="0" w:color="auto"/>
                  </w:divBdr>
                  <w:divsChild>
                    <w:div w:id="1003432778">
                      <w:marLeft w:val="0"/>
                      <w:marRight w:val="0"/>
                      <w:marTop w:val="0"/>
                      <w:marBottom w:val="0"/>
                      <w:divBdr>
                        <w:top w:val="none" w:sz="0" w:space="0" w:color="auto"/>
                        <w:left w:val="none" w:sz="0" w:space="0" w:color="auto"/>
                        <w:bottom w:val="none" w:sz="0" w:space="0" w:color="auto"/>
                        <w:right w:val="none" w:sz="0" w:space="0" w:color="auto"/>
                      </w:divBdr>
                      <w:divsChild>
                        <w:div w:id="515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6863">
      <w:bodyDiv w:val="1"/>
      <w:marLeft w:val="0"/>
      <w:marRight w:val="0"/>
      <w:marTop w:val="0"/>
      <w:marBottom w:val="0"/>
      <w:divBdr>
        <w:top w:val="none" w:sz="0" w:space="0" w:color="auto"/>
        <w:left w:val="none" w:sz="0" w:space="0" w:color="auto"/>
        <w:bottom w:val="none" w:sz="0" w:space="0" w:color="auto"/>
        <w:right w:val="none" w:sz="0" w:space="0" w:color="auto"/>
      </w:divBdr>
      <w:divsChild>
        <w:div w:id="726031965">
          <w:marLeft w:val="0"/>
          <w:marRight w:val="0"/>
          <w:marTop w:val="0"/>
          <w:marBottom w:val="0"/>
          <w:divBdr>
            <w:top w:val="none" w:sz="0" w:space="0" w:color="auto"/>
            <w:left w:val="none" w:sz="0" w:space="0" w:color="auto"/>
            <w:bottom w:val="none" w:sz="0" w:space="0" w:color="auto"/>
            <w:right w:val="none" w:sz="0" w:space="0" w:color="auto"/>
          </w:divBdr>
          <w:divsChild>
            <w:div w:id="334115384">
              <w:marLeft w:val="0"/>
              <w:marRight w:val="0"/>
              <w:marTop w:val="0"/>
              <w:marBottom w:val="0"/>
              <w:divBdr>
                <w:top w:val="none" w:sz="0" w:space="0" w:color="auto"/>
                <w:left w:val="none" w:sz="0" w:space="0" w:color="auto"/>
                <w:bottom w:val="none" w:sz="0" w:space="0" w:color="auto"/>
                <w:right w:val="none" w:sz="0" w:space="0" w:color="auto"/>
              </w:divBdr>
              <w:divsChild>
                <w:div w:id="1049842274">
                  <w:marLeft w:val="0"/>
                  <w:marRight w:val="0"/>
                  <w:marTop w:val="0"/>
                  <w:marBottom w:val="0"/>
                  <w:divBdr>
                    <w:top w:val="none" w:sz="0" w:space="0" w:color="auto"/>
                    <w:left w:val="none" w:sz="0" w:space="0" w:color="auto"/>
                    <w:bottom w:val="none" w:sz="0" w:space="0" w:color="auto"/>
                    <w:right w:val="none" w:sz="0" w:space="0" w:color="auto"/>
                  </w:divBdr>
                  <w:divsChild>
                    <w:div w:id="146436302">
                      <w:marLeft w:val="0"/>
                      <w:marRight w:val="0"/>
                      <w:marTop w:val="0"/>
                      <w:marBottom w:val="0"/>
                      <w:divBdr>
                        <w:top w:val="none" w:sz="0" w:space="0" w:color="auto"/>
                        <w:left w:val="none" w:sz="0" w:space="0" w:color="auto"/>
                        <w:bottom w:val="none" w:sz="0" w:space="0" w:color="auto"/>
                        <w:right w:val="none" w:sz="0" w:space="0" w:color="auto"/>
                      </w:divBdr>
                      <w:divsChild>
                        <w:div w:id="1643804394">
                          <w:marLeft w:val="0"/>
                          <w:marRight w:val="0"/>
                          <w:marTop w:val="0"/>
                          <w:marBottom w:val="0"/>
                          <w:divBdr>
                            <w:top w:val="none" w:sz="0" w:space="0" w:color="auto"/>
                            <w:left w:val="none" w:sz="0" w:space="0" w:color="auto"/>
                            <w:bottom w:val="none" w:sz="0" w:space="0" w:color="auto"/>
                            <w:right w:val="none" w:sz="0" w:space="0" w:color="auto"/>
                          </w:divBdr>
                          <w:divsChild>
                            <w:div w:id="675767939">
                              <w:marLeft w:val="0"/>
                              <w:marRight w:val="300"/>
                              <w:marTop w:val="18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4926">
          <w:marLeft w:val="0"/>
          <w:marRight w:val="0"/>
          <w:marTop w:val="0"/>
          <w:marBottom w:val="0"/>
          <w:divBdr>
            <w:top w:val="none" w:sz="0" w:space="0" w:color="auto"/>
            <w:left w:val="none" w:sz="0" w:space="0" w:color="auto"/>
            <w:bottom w:val="none" w:sz="0" w:space="0" w:color="auto"/>
            <w:right w:val="none" w:sz="0" w:space="0" w:color="auto"/>
          </w:divBdr>
          <w:divsChild>
            <w:div w:id="776633205">
              <w:marLeft w:val="0"/>
              <w:marRight w:val="0"/>
              <w:marTop w:val="0"/>
              <w:marBottom w:val="0"/>
              <w:divBdr>
                <w:top w:val="none" w:sz="0" w:space="0" w:color="auto"/>
                <w:left w:val="none" w:sz="0" w:space="0" w:color="auto"/>
                <w:bottom w:val="none" w:sz="0" w:space="0" w:color="auto"/>
                <w:right w:val="none" w:sz="0" w:space="0" w:color="auto"/>
              </w:divBdr>
              <w:divsChild>
                <w:div w:id="1363238776">
                  <w:marLeft w:val="0"/>
                  <w:marRight w:val="0"/>
                  <w:marTop w:val="0"/>
                  <w:marBottom w:val="0"/>
                  <w:divBdr>
                    <w:top w:val="none" w:sz="0" w:space="0" w:color="auto"/>
                    <w:left w:val="none" w:sz="0" w:space="0" w:color="auto"/>
                    <w:bottom w:val="none" w:sz="0" w:space="0" w:color="auto"/>
                    <w:right w:val="none" w:sz="0" w:space="0" w:color="auto"/>
                  </w:divBdr>
                  <w:divsChild>
                    <w:div w:id="1064833394">
                      <w:marLeft w:val="0"/>
                      <w:marRight w:val="0"/>
                      <w:marTop w:val="0"/>
                      <w:marBottom w:val="0"/>
                      <w:divBdr>
                        <w:top w:val="none" w:sz="0" w:space="0" w:color="auto"/>
                        <w:left w:val="none" w:sz="0" w:space="0" w:color="auto"/>
                        <w:bottom w:val="none" w:sz="0" w:space="0" w:color="auto"/>
                        <w:right w:val="none" w:sz="0" w:space="0" w:color="auto"/>
                      </w:divBdr>
                      <w:divsChild>
                        <w:div w:id="841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ommunity.org/dam/jcr:5e6fd995-f753-4fe2-b180-95df8a1bf19d/PG_01_2018_ECS_RE_g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13316</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Sanja Kapetina</cp:lastModifiedBy>
  <cp:revision>2</cp:revision>
  <dcterms:created xsi:type="dcterms:W3CDTF">2019-07-02T12:48:00Z</dcterms:created>
  <dcterms:modified xsi:type="dcterms:W3CDTF">2019-07-02T12:48:00Z</dcterms:modified>
</cp:coreProperties>
</file>